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32" w:rsidRDefault="00A96732" w:rsidP="00A96732">
      <w:pPr>
        <w:pStyle w:val="NormalWeb"/>
        <w:spacing w:before="0" w:beforeAutospacing="0" w:after="0"/>
      </w:pPr>
      <w:r w:rsidRPr="00A96732">
        <w:rPr>
          <w:rFonts w:ascii="Arial" w:hAnsi="Arial" w:cs="Arial"/>
          <w:color w:val="000000"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5206365</wp:posOffset>
            </wp:positionH>
            <wp:positionV relativeFrom="paragraph">
              <wp:posOffset>-442595</wp:posOffset>
            </wp:positionV>
            <wp:extent cx="893445" cy="847725"/>
            <wp:effectExtent l="0" t="0" r="1905" b="9525"/>
            <wp:wrapTight wrapText="bothSides">
              <wp:wrapPolygon edited="0">
                <wp:start x="0" y="0"/>
                <wp:lineTo x="0" y="21357"/>
                <wp:lineTo x="21186" y="21357"/>
                <wp:lineTo x="2118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732" w:rsidRDefault="00A96732" w:rsidP="00A96732">
      <w:pPr>
        <w:pStyle w:val="NormalWeb"/>
        <w:spacing w:before="0" w:beforeAutospacing="0" w:after="0"/>
      </w:pPr>
      <w:r>
        <w:rPr>
          <w:rFonts w:ascii="Arial" w:hAnsi="Arial" w:cs="Arial"/>
          <w:i/>
          <w:iCs/>
          <w:color w:val="4F81BD"/>
          <w:lang w:val="es-ES"/>
        </w:rPr>
        <w:t>Nombre del municipio</w:t>
      </w:r>
      <w:r>
        <w:rPr>
          <w:rFonts w:ascii="Arial" w:hAnsi="Arial" w:cs="Arial"/>
          <w:color w:val="4F81BD"/>
          <w:lang w:val="es-ES"/>
        </w:rPr>
        <w:t> </w:t>
      </w:r>
      <w:r>
        <w:rPr>
          <w:rFonts w:ascii="Arial" w:hAnsi="Arial" w:cs="Arial"/>
          <w:color w:val="000000"/>
          <w:lang w:val="es-ES"/>
        </w:rPr>
        <w:t>a 29 de marzo de 2016</w:t>
      </w:r>
    </w:p>
    <w:p w:rsidR="00A96732" w:rsidRDefault="00A96732" w:rsidP="00A96732">
      <w:pPr>
        <w:pStyle w:val="NormalWeb"/>
        <w:spacing w:before="0" w:beforeAutospacing="0" w:after="0"/>
        <w:rPr>
          <w:lang w:val="es-ES"/>
        </w:rPr>
      </w:pPr>
    </w:p>
    <w:p w:rsidR="00A96732" w:rsidRDefault="00A96732" w:rsidP="00A96732">
      <w:pPr>
        <w:pStyle w:val="NormalWeb"/>
        <w:spacing w:before="0" w:beforeAutospacing="0" w:after="0"/>
      </w:pPr>
      <w:r>
        <w:rPr>
          <w:rFonts w:ascii="Arial" w:hAnsi="Arial" w:cs="Arial"/>
          <w:color w:val="000000"/>
          <w:lang w:val="es-ES"/>
        </w:rPr>
        <w:t>El gobierno local y grupos municipales abajo firmantes se han reunido con miembros locales de la PAH, comprometiéndose a:</w:t>
      </w:r>
    </w:p>
    <w:p w:rsidR="00A96732" w:rsidRPr="00A96732" w:rsidRDefault="00A96732" w:rsidP="00A96732">
      <w:pPr>
        <w:pStyle w:val="NormalWeb"/>
        <w:spacing w:before="0" w:beforeAutospacing="0" w:after="0"/>
        <w:rPr>
          <w:sz w:val="16"/>
          <w:szCs w:val="16"/>
          <w:lang w:val="es-ES"/>
        </w:rPr>
      </w:pPr>
    </w:p>
    <w:p w:rsidR="00A96732" w:rsidRDefault="00A96732" w:rsidP="00A96732">
      <w:pPr>
        <w:pStyle w:val="NormalWeb"/>
        <w:spacing w:before="0" w:beforeAutospacing="0" w:after="0"/>
      </w:pPr>
      <w:r>
        <w:rPr>
          <w:rFonts w:ascii="Arial" w:hAnsi="Arial" w:cs="Arial"/>
          <w:b/>
          <w:bCs/>
          <w:color w:val="000000"/>
          <w:lang w:val="es-ES"/>
        </w:rPr>
        <w:t>1.</w:t>
      </w:r>
      <w:r>
        <w:rPr>
          <w:rFonts w:ascii="Arial" w:hAnsi="Arial" w:cs="Arial"/>
          <w:color w:val="000000"/>
          <w:lang w:val="es-ES"/>
        </w:rPr>
        <w:t xml:space="preserve"> Defender públicamente la Ley de Vivienda de la PAH con sus correspondientes 5 demandas para hacer frente a la emergencia habitacional.</w:t>
      </w:r>
    </w:p>
    <w:p w:rsidR="00A96732" w:rsidRPr="00A96732" w:rsidRDefault="00A96732" w:rsidP="00A96732">
      <w:pPr>
        <w:pStyle w:val="NormalWeb"/>
        <w:spacing w:before="0" w:beforeAutospacing="0" w:after="0"/>
        <w:rPr>
          <w:sz w:val="16"/>
          <w:szCs w:val="16"/>
          <w:lang w:val="es-ES"/>
        </w:rPr>
      </w:pPr>
    </w:p>
    <w:p w:rsidR="00A96732" w:rsidRDefault="00A96732" w:rsidP="00A96732">
      <w:pPr>
        <w:pStyle w:val="NormalWeb"/>
        <w:spacing w:before="0" w:beforeAutospacing="0" w:after="0"/>
      </w:pPr>
      <w:r>
        <w:rPr>
          <w:rFonts w:ascii="Arial" w:hAnsi="Arial" w:cs="Arial"/>
          <w:b/>
          <w:bCs/>
          <w:color w:val="000000"/>
          <w:lang w:val="es-ES"/>
        </w:rPr>
        <w:t>2.</w:t>
      </w:r>
      <w:r>
        <w:rPr>
          <w:rFonts w:ascii="Arial" w:hAnsi="Arial" w:cs="Arial"/>
          <w:color w:val="000000"/>
          <w:lang w:val="es-ES"/>
        </w:rPr>
        <w:t xml:space="preserve"> Exigir al Gobierno del Estado y a todos los grupos parlamentarios del Congreso la introducción y legislación de las propuestas recogidas en la Ley de </w:t>
      </w:r>
      <w:bookmarkStart w:id="0" w:name="_GoBack"/>
      <w:bookmarkEnd w:id="0"/>
      <w:r>
        <w:rPr>
          <w:rFonts w:ascii="Arial" w:hAnsi="Arial" w:cs="Arial"/>
          <w:color w:val="000000"/>
          <w:lang w:val="es-ES"/>
        </w:rPr>
        <w:t>Vivienda de la PAH.</w:t>
      </w:r>
    </w:p>
    <w:p w:rsidR="00A96732" w:rsidRPr="00A96732" w:rsidRDefault="00A96732" w:rsidP="00A96732">
      <w:pPr>
        <w:pStyle w:val="NormalWeb"/>
        <w:spacing w:before="0" w:beforeAutospacing="0" w:after="0"/>
        <w:rPr>
          <w:sz w:val="16"/>
          <w:szCs w:val="16"/>
          <w:lang w:val="es-ES"/>
        </w:rPr>
      </w:pPr>
    </w:p>
    <w:p w:rsidR="00A96732" w:rsidRDefault="00A96732" w:rsidP="00A96732">
      <w:pPr>
        <w:pStyle w:val="NormalWeb"/>
        <w:spacing w:before="0" w:beforeAutospacing="0" w:after="0"/>
      </w:pPr>
      <w:r>
        <w:rPr>
          <w:rFonts w:ascii="Arial" w:hAnsi="Arial" w:cs="Arial"/>
          <w:b/>
          <w:bCs/>
          <w:color w:val="000000"/>
          <w:lang w:val="es-ES"/>
        </w:rPr>
        <w:t>3.</w:t>
      </w:r>
      <w:r>
        <w:rPr>
          <w:rFonts w:ascii="Arial" w:hAnsi="Arial" w:cs="Arial"/>
          <w:color w:val="000000"/>
          <w:lang w:val="es-ES"/>
        </w:rPr>
        <w:t xml:space="preserve"> Apoyar y facilitar cualquier recurso necesario para la legislación y posterior aplicación de la Ley de Vivienda de la PAH.</w:t>
      </w:r>
    </w:p>
    <w:p w:rsidR="00A96732" w:rsidRPr="00A96732" w:rsidRDefault="00A96732" w:rsidP="00A96732">
      <w:pPr>
        <w:pStyle w:val="NormalWeb"/>
        <w:spacing w:before="0" w:beforeAutospacing="0" w:after="0"/>
        <w:rPr>
          <w:sz w:val="16"/>
          <w:szCs w:val="16"/>
          <w:lang w:val="es-ES"/>
        </w:rPr>
      </w:pPr>
    </w:p>
    <w:p w:rsidR="00A96732" w:rsidRDefault="00A96732" w:rsidP="00A96732">
      <w:pPr>
        <w:pStyle w:val="NormalWeb"/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La Ley de Vivienda de la PAH contempla las siguientes 5 demandas:</w:t>
      </w:r>
    </w:p>
    <w:p w:rsidR="00A96732" w:rsidRPr="00A96732" w:rsidRDefault="00A96732" w:rsidP="00A96732">
      <w:pPr>
        <w:pStyle w:val="NormalWeb"/>
        <w:spacing w:before="0" w:beforeAutospacing="0" w:after="0"/>
        <w:rPr>
          <w:sz w:val="16"/>
          <w:szCs w:val="16"/>
          <w:lang w:val="es-ES"/>
        </w:rPr>
      </w:pPr>
    </w:p>
    <w:p w:rsidR="00A96732" w:rsidRDefault="00A96732" w:rsidP="00A96732">
      <w:pPr>
        <w:pStyle w:val="NormalWeb"/>
        <w:spacing w:before="0" w:beforeAutospacing="0" w:after="0"/>
      </w:pPr>
      <w:r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>1.- DACIÓN EN PAGO RETROACTIVA</w:t>
      </w:r>
    </w:p>
    <w:p w:rsidR="00A96732" w:rsidRDefault="00A96732" w:rsidP="00A96732">
      <w:pPr>
        <w:pStyle w:val="NormalWeb"/>
        <w:numPr>
          <w:ilvl w:val="0"/>
          <w:numId w:val="1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Mecanismos de segunda oportunidad para conceder la dación en pago y la condonación de la deuda.</w:t>
      </w:r>
    </w:p>
    <w:p w:rsidR="00A96732" w:rsidRDefault="00A96732" w:rsidP="00A96732">
      <w:pPr>
        <w:pStyle w:val="NormalWeb"/>
        <w:numPr>
          <w:ilvl w:val="0"/>
          <w:numId w:val="2"/>
        </w:numPr>
        <w:spacing w:before="0" w:beforeAutospacing="0" w:after="0"/>
      </w:pPr>
      <w:proofErr w:type="spellStart"/>
      <w:r>
        <w:rPr>
          <w:rFonts w:ascii="Arial" w:hAnsi="Arial" w:cs="Arial"/>
          <w:color w:val="000000"/>
          <w:sz w:val="16"/>
          <w:szCs w:val="16"/>
          <w:lang w:val="es-ES"/>
        </w:rPr>
        <w:t>Inembargabilidad</w:t>
      </w:r>
      <w:proofErr w:type="spellEnd"/>
      <w:r>
        <w:rPr>
          <w:rFonts w:ascii="Arial" w:hAnsi="Arial" w:cs="Arial"/>
          <w:color w:val="000000"/>
          <w:sz w:val="16"/>
          <w:szCs w:val="16"/>
          <w:lang w:val="es-ES"/>
        </w:rPr>
        <w:t xml:space="preserve"> de la vivienda habitual de avalistas.</w:t>
      </w:r>
    </w:p>
    <w:p w:rsidR="00A96732" w:rsidRDefault="00A96732" w:rsidP="00A96732">
      <w:pPr>
        <w:pStyle w:val="NormalWeb"/>
        <w:numPr>
          <w:ilvl w:val="0"/>
          <w:numId w:val="3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Eliminación de cláusulas abusivas y compensación económica por las mismas.</w:t>
      </w:r>
    </w:p>
    <w:p w:rsidR="00A96732" w:rsidRDefault="00A96732" w:rsidP="00A96732">
      <w:pPr>
        <w:pStyle w:val="NormalWeb"/>
        <w:spacing w:before="0" w:beforeAutospacing="0" w:after="0"/>
        <w:rPr>
          <w:lang w:val="es-ES"/>
        </w:rPr>
      </w:pPr>
    </w:p>
    <w:p w:rsidR="00A96732" w:rsidRDefault="00A96732" w:rsidP="00A96732">
      <w:pPr>
        <w:pStyle w:val="NormalWeb"/>
        <w:spacing w:before="0" w:beforeAutospacing="0" w:after="0"/>
      </w:pPr>
      <w:r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>2.- ALQUILER ASEQUIBLE</w:t>
      </w:r>
    </w:p>
    <w:p w:rsidR="00A96732" w:rsidRDefault="00A96732" w:rsidP="00A96732">
      <w:pPr>
        <w:pStyle w:val="NormalWeb"/>
        <w:numPr>
          <w:ilvl w:val="0"/>
          <w:numId w:val="4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Reforma de la LAU para dar seguridad y estabilidad.</w:t>
      </w:r>
    </w:p>
    <w:p w:rsidR="00A96732" w:rsidRDefault="00A96732" w:rsidP="00A96732">
      <w:pPr>
        <w:pStyle w:val="NormalWeb"/>
        <w:numPr>
          <w:ilvl w:val="0"/>
          <w:numId w:val="5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Ampliación a un mínimo de 5 años y/o fórmulas en las cuales el contrato  solo se pueda rescindir en casos concretos de urgencia.</w:t>
      </w:r>
    </w:p>
    <w:p w:rsidR="00A96732" w:rsidRDefault="00A96732" w:rsidP="00A96732">
      <w:pPr>
        <w:pStyle w:val="NormalWeb"/>
        <w:numPr>
          <w:ilvl w:val="0"/>
          <w:numId w:val="6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Establecer un marco de regulación de los precios que corresponda a los ingresos de la población.</w:t>
      </w:r>
    </w:p>
    <w:p w:rsidR="00A96732" w:rsidRDefault="00A96732" w:rsidP="00A96732">
      <w:pPr>
        <w:pStyle w:val="NormalWeb"/>
        <w:spacing w:before="0" w:beforeAutospacing="0" w:after="0"/>
        <w:rPr>
          <w:lang w:val="es-ES"/>
        </w:rPr>
      </w:pPr>
    </w:p>
    <w:p w:rsidR="00A96732" w:rsidRDefault="00A96732" w:rsidP="00A96732">
      <w:pPr>
        <w:pStyle w:val="NormalWeb"/>
        <w:spacing w:before="0" w:beforeAutospacing="0" w:after="0"/>
      </w:pPr>
      <w:r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>3.- STOP DESAHUCIOS</w:t>
      </w:r>
    </w:p>
    <w:p w:rsidR="00A96732" w:rsidRDefault="00A96732" w:rsidP="00A96732">
      <w:pPr>
        <w:pStyle w:val="NormalWeb"/>
        <w:numPr>
          <w:ilvl w:val="0"/>
          <w:numId w:val="7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Moratoria sobre desahucios de primera y única vivienda.</w:t>
      </w:r>
    </w:p>
    <w:p w:rsidR="00A96732" w:rsidRDefault="00A96732" w:rsidP="00A96732">
      <w:pPr>
        <w:pStyle w:val="NormalWeb"/>
        <w:numPr>
          <w:ilvl w:val="0"/>
          <w:numId w:val="8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Obligación de bancos y grandes tenedores de vivienda de ofrecer el alquiler social a las familias afectadas antes de ejecutar un desahucio.</w:t>
      </w:r>
    </w:p>
    <w:p w:rsidR="00A96732" w:rsidRDefault="00A96732" w:rsidP="00A96732">
      <w:pPr>
        <w:pStyle w:val="NormalWeb"/>
        <w:numPr>
          <w:ilvl w:val="0"/>
          <w:numId w:val="9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Ayudas a pagar el alquiler cuando el propietario es un pequeño tenedor.</w:t>
      </w:r>
    </w:p>
    <w:p w:rsidR="00A96732" w:rsidRDefault="00A96732" w:rsidP="00A96732">
      <w:pPr>
        <w:pStyle w:val="NormalWeb"/>
        <w:numPr>
          <w:ilvl w:val="0"/>
          <w:numId w:val="10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Obligatoriedad de la Administración Pública a ofrecer realojos incluso frente a casos de ocupación.</w:t>
      </w:r>
    </w:p>
    <w:p w:rsidR="00A96732" w:rsidRDefault="00A96732" w:rsidP="00A96732">
      <w:pPr>
        <w:pStyle w:val="NormalWeb"/>
        <w:numPr>
          <w:ilvl w:val="0"/>
          <w:numId w:val="11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Asegurar el Derecho de Arraigo en los realojos, ofreciéndoles en el mismo municipio y barrio.</w:t>
      </w:r>
    </w:p>
    <w:p w:rsidR="00A96732" w:rsidRDefault="00A96732" w:rsidP="00A96732">
      <w:pPr>
        <w:pStyle w:val="NormalWeb"/>
        <w:spacing w:before="0" w:beforeAutospacing="0" w:after="0"/>
        <w:rPr>
          <w:lang w:val="es-ES"/>
        </w:rPr>
      </w:pPr>
    </w:p>
    <w:p w:rsidR="00A96732" w:rsidRDefault="00A96732" w:rsidP="00A96732">
      <w:pPr>
        <w:pStyle w:val="NormalWeb"/>
        <w:spacing w:before="0" w:beforeAutospacing="0" w:after="0"/>
      </w:pPr>
      <w:r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>4.- VIVIENDA SOCIAL</w:t>
      </w:r>
    </w:p>
    <w:p w:rsidR="00A96732" w:rsidRDefault="00A96732" w:rsidP="00A96732">
      <w:pPr>
        <w:pStyle w:val="NormalWeb"/>
        <w:numPr>
          <w:ilvl w:val="0"/>
          <w:numId w:val="12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Movilización de vivienda vacía mediante la cesión obligatoria.</w:t>
      </w:r>
    </w:p>
    <w:p w:rsidR="00A96732" w:rsidRDefault="00A96732" w:rsidP="00A96732">
      <w:pPr>
        <w:pStyle w:val="NormalWeb"/>
        <w:numPr>
          <w:ilvl w:val="0"/>
          <w:numId w:val="13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Incrementar el parque público de vivienda.</w:t>
      </w:r>
    </w:p>
    <w:p w:rsidR="00A96732" w:rsidRDefault="00A96732" w:rsidP="00A96732">
      <w:pPr>
        <w:pStyle w:val="NormalWeb"/>
        <w:numPr>
          <w:ilvl w:val="0"/>
          <w:numId w:val="14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Alquileres Sociales no superiores al 30% de los ingresos de la unidad familiar.</w:t>
      </w:r>
    </w:p>
    <w:p w:rsidR="00A96732" w:rsidRDefault="00A96732" w:rsidP="00A96732">
      <w:pPr>
        <w:pStyle w:val="NormalWeb"/>
        <w:spacing w:before="0" w:beforeAutospacing="0" w:after="0"/>
        <w:rPr>
          <w:lang w:val="es-ES"/>
        </w:rPr>
      </w:pPr>
    </w:p>
    <w:p w:rsidR="00A96732" w:rsidRDefault="00A96732" w:rsidP="00A96732">
      <w:pPr>
        <w:pStyle w:val="NormalWeb"/>
        <w:spacing w:before="0" w:beforeAutospacing="0" w:after="0"/>
      </w:pPr>
      <w:r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>5.- SUMINISTROS GARANTIZADOS</w:t>
      </w:r>
    </w:p>
    <w:p w:rsidR="00A96732" w:rsidRDefault="00A96732" w:rsidP="00A96732">
      <w:pPr>
        <w:pStyle w:val="NormalWeb"/>
        <w:numPr>
          <w:ilvl w:val="0"/>
          <w:numId w:val="15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Principio de Precaución: garantía de no cortar los suministros básicos de agua, luz y gas sin antes tener información sobre la situación de las afectadas.</w:t>
      </w:r>
    </w:p>
    <w:p w:rsidR="00A96732" w:rsidRDefault="00A96732" w:rsidP="00A96732">
      <w:pPr>
        <w:pStyle w:val="NormalWeb"/>
        <w:numPr>
          <w:ilvl w:val="0"/>
          <w:numId w:val="16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Tarifa Social: pago en función de la capacidad adquisitiva.</w:t>
      </w:r>
    </w:p>
    <w:p w:rsidR="00A96732" w:rsidRDefault="00A96732" w:rsidP="00A96732">
      <w:pPr>
        <w:pStyle w:val="NormalWeb"/>
        <w:numPr>
          <w:ilvl w:val="0"/>
          <w:numId w:val="17"/>
        </w:numPr>
        <w:spacing w:before="0" w:beforeAutospacing="0" w:after="0"/>
      </w:pPr>
      <w:r>
        <w:rPr>
          <w:rFonts w:ascii="Arial" w:hAnsi="Arial" w:cs="Arial"/>
          <w:color w:val="000000"/>
          <w:sz w:val="16"/>
          <w:szCs w:val="16"/>
          <w:lang w:val="es-ES"/>
        </w:rPr>
        <w:t>No asumir las deudas con recursos públicos, obligando a las suministradoras a que asuman el coste de las familias que no puedan pagar.</w:t>
      </w:r>
    </w:p>
    <w:p w:rsidR="00A96732" w:rsidRDefault="00A96732" w:rsidP="00A96732">
      <w:pPr>
        <w:pStyle w:val="NormalWeb"/>
        <w:spacing w:after="0"/>
      </w:pPr>
    </w:p>
    <w:p w:rsidR="00D5578D" w:rsidRPr="00D5578D" w:rsidRDefault="00D5578D" w:rsidP="00D5578D">
      <w:pPr>
        <w:spacing w:after="0" w:line="240" w:lineRule="auto"/>
      </w:pPr>
    </w:p>
    <w:sectPr w:rsidR="00D5578D" w:rsidRPr="00D55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6EE"/>
    <w:multiLevelType w:val="multilevel"/>
    <w:tmpl w:val="319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74D46"/>
    <w:multiLevelType w:val="multilevel"/>
    <w:tmpl w:val="841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802FE"/>
    <w:multiLevelType w:val="multilevel"/>
    <w:tmpl w:val="F2A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75B62"/>
    <w:multiLevelType w:val="multilevel"/>
    <w:tmpl w:val="2FD8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01320"/>
    <w:multiLevelType w:val="multilevel"/>
    <w:tmpl w:val="A97A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7669B"/>
    <w:multiLevelType w:val="multilevel"/>
    <w:tmpl w:val="3A32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891281"/>
    <w:multiLevelType w:val="multilevel"/>
    <w:tmpl w:val="3F7A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71D98"/>
    <w:multiLevelType w:val="multilevel"/>
    <w:tmpl w:val="0702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2A4181"/>
    <w:multiLevelType w:val="multilevel"/>
    <w:tmpl w:val="83E8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BC1169"/>
    <w:multiLevelType w:val="multilevel"/>
    <w:tmpl w:val="3DF8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70318A"/>
    <w:multiLevelType w:val="multilevel"/>
    <w:tmpl w:val="4ACC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903D6"/>
    <w:multiLevelType w:val="multilevel"/>
    <w:tmpl w:val="9268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E6AAC"/>
    <w:multiLevelType w:val="multilevel"/>
    <w:tmpl w:val="1FA2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D73F6"/>
    <w:multiLevelType w:val="multilevel"/>
    <w:tmpl w:val="DD7E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BB4BCB"/>
    <w:multiLevelType w:val="multilevel"/>
    <w:tmpl w:val="F0AC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D51287"/>
    <w:multiLevelType w:val="multilevel"/>
    <w:tmpl w:val="E366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EA25FF"/>
    <w:multiLevelType w:val="multilevel"/>
    <w:tmpl w:val="C834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0"/>
  </w:num>
  <w:num w:numId="8">
    <w:abstractNumId w:val="16"/>
  </w:num>
  <w:num w:numId="9">
    <w:abstractNumId w:val="6"/>
  </w:num>
  <w:num w:numId="10">
    <w:abstractNumId w:val="11"/>
  </w:num>
  <w:num w:numId="11">
    <w:abstractNumId w:val="14"/>
  </w:num>
  <w:num w:numId="12">
    <w:abstractNumId w:val="15"/>
  </w:num>
  <w:num w:numId="13">
    <w:abstractNumId w:val="8"/>
  </w:num>
  <w:num w:numId="14">
    <w:abstractNumId w:val="7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8D"/>
    <w:rsid w:val="005D4CDA"/>
    <w:rsid w:val="00A96732"/>
    <w:rsid w:val="00D5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">
    <w:name w:val="b"/>
    <w:basedOn w:val="Fuentedeprrafopredeter"/>
    <w:rsid w:val="00D5578D"/>
  </w:style>
  <w:style w:type="character" w:customStyle="1" w:styleId="apple-converted-space">
    <w:name w:val="apple-converted-space"/>
    <w:basedOn w:val="Fuentedeprrafopredeter"/>
    <w:rsid w:val="00D5578D"/>
  </w:style>
  <w:style w:type="character" w:customStyle="1" w:styleId="s">
    <w:name w:val="s"/>
    <w:basedOn w:val="Fuentedeprrafopredeter"/>
    <w:rsid w:val="00D5578D"/>
  </w:style>
  <w:style w:type="character" w:styleId="Hipervnculo">
    <w:name w:val="Hyperlink"/>
    <w:basedOn w:val="Fuentedeprrafopredeter"/>
    <w:uiPriority w:val="99"/>
    <w:semiHidden/>
    <w:unhideWhenUsed/>
    <w:rsid w:val="00D557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67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">
    <w:name w:val="b"/>
    <w:basedOn w:val="Fuentedeprrafopredeter"/>
    <w:rsid w:val="00D5578D"/>
  </w:style>
  <w:style w:type="character" w:customStyle="1" w:styleId="apple-converted-space">
    <w:name w:val="apple-converted-space"/>
    <w:basedOn w:val="Fuentedeprrafopredeter"/>
    <w:rsid w:val="00D5578D"/>
  </w:style>
  <w:style w:type="character" w:customStyle="1" w:styleId="s">
    <w:name w:val="s"/>
    <w:basedOn w:val="Fuentedeprrafopredeter"/>
    <w:rsid w:val="00D5578D"/>
  </w:style>
  <w:style w:type="character" w:styleId="Hipervnculo">
    <w:name w:val="Hyperlink"/>
    <w:basedOn w:val="Fuentedeprrafopredeter"/>
    <w:uiPriority w:val="99"/>
    <w:semiHidden/>
    <w:unhideWhenUsed/>
    <w:rsid w:val="00D557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67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2017-03-28T15:38:00Z</dcterms:created>
  <dcterms:modified xsi:type="dcterms:W3CDTF">2017-03-28T15:53:00Z</dcterms:modified>
</cp:coreProperties>
</file>