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708" w:leader="none"/>
        </w:tabs>
        <w:spacing w:lineRule="atLeast" w:line="100" w:before="28" w:after="28"/>
        <w:rPr/>
      </w:pPr>
      <w:r>
        <w:rPr/>
        <w:t xml:space="preserve">   </w:t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posOffset>13970</wp:posOffset>
            </wp:positionH>
            <wp:positionV relativeFrom="paragraph">
              <wp:posOffset>137795</wp:posOffset>
            </wp:positionV>
            <wp:extent cx="1470660" cy="1749425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left" w:pos="708" w:leader="none"/>
        </w:tabs>
        <w:spacing w:lineRule="atLeast" w:line="100" w:before="28" w:after="28"/>
        <w:rPr/>
      </w:pPr>
      <w:r>
        <w:rPr/>
      </w:r>
    </w:p>
    <w:p>
      <w:pPr>
        <w:pStyle w:val="Normal"/>
        <w:tabs>
          <w:tab w:val="left" w:pos="708" w:leader="none"/>
        </w:tabs>
        <w:spacing w:lineRule="atLeast" w:line="100" w:before="28" w:after="28"/>
        <w:rPr/>
      </w:pPr>
      <w:r>
        <w:rPr/>
      </w:r>
    </w:p>
    <w:p>
      <w:pPr>
        <w:pStyle w:val="Normal"/>
        <w:tabs>
          <w:tab w:val="left" w:pos="708" w:leader="none"/>
        </w:tabs>
        <w:spacing w:lineRule="atLeast" w:line="100" w:before="28" w:after="28"/>
        <w:rPr/>
      </w:pPr>
      <w:r>
        <w:rPr/>
      </w:r>
    </w:p>
    <w:p>
      <w:pPr>
        <w:pStyle w:val="Normal"/>
        <w:tabs>
          <w:tab w:val="left" w:pos="708" w:leader="none"/>
        </w:tabs>
        <w:spacing w:lineRule="atLeast" w:line="100" w:before="28" w:after="28"/>
        <w:rPr/>
      </w:pPr>
      <w:r>
        <w:rPr/>
      </w:r>
    </w:p>
    <w:p>
      <w:pPr>
        <w:pStyle w:val="Normal"/>
        <w:tabs>
          <w:tab w:val="left" w:pos="708" w:leader="none"/>
        </w:tabs>
        <w:spacing w:lineRule="atLeast" w:line="100" w:before="28" w:after="28"/>
        <w:rPr/>
      </w:pPr>
      <w:r>
        <w:rPr/>
      </w:r>
    </w:p>
    <w:p>
      <w:pPr>
        <w:pStyle w:val="Normal"/>
        <w:tabs>
          <w:tab w:val="left" w:pos="708" w:leader="none"/>
        </w:tabs>
        <w:spacing w:lineRule="atLeast" w:line="100" w:before="28" w:after="28"/>
        <w:rPr/>
      </w:pPr>
      <w:r>
        <w:rPr/>
      </w:r>
    </w:p>
    <w:p>
      <w:pPr>
        <w:pStyle w:val="Normal"/>
        <w:tabs>
          <w:tab w:val="left" w:pos="708" w:leader="none"/>
        </w:tabs>
        <w:spacing w:lineRule="atLeast" w:line="100" w:before="28" w:after="28"/>
        <w:rPr/>
      </w:pPr>
      <w:r>
        <w:rPr/>
      </w:r>
    </w:p>
    <w:p>
      <w:pPr>
        <w:pStyle w:val="Normal"/>
        <w:tabs>
          <w:tab w:val="left" w:pos="708" w:leader="none"/>
        </w:tabs>
        <w:spacing w:lineRule="atLeast" w:line="100" w:before="28" w:after="28"/>
        <w:rPr/>
      </w:pPr>
      <w:r>
        <w:rPr/>
      </w:r>
    </w:p>
    <w:p>
      <w:pPr>
        <w:pStyle w:val="Normal"/>
        <w:tabs>
          <w:tab w:val="left" w:pos="708" w:leader="none"/>
        </w:tabs>
        <w:spacing w:lineRule="atLeast" w:line="100" w:before="28" w:after="28"/>
        <w:rPr>
          <w:rFonts w:eastAsia="Times New Roman" w:cs="Arial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En </w:t>
      </w:r>
      <w:r>
        <w:rPr>
          <w:rFonts w:eastAsia="Times New Roman" w:cs="Arial"/>
          <w:color w:val="FF0000"/>
          <w:sz w:val="24"/>
          <w:szCs w:val="24"/>
          <w:lang w:eastAsia="es-ES"/>
        </w:rPr>
        <w:t>XXXXXX</w:t>
      </w: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 ,</w:t>
      </w:r>
      <w:r>
        <w:rPr>
          <w:rFonts w:eastAsia="Times New Roman" w:cs="Arial"/>
          <w:color w:val="FF0000"/>
          <w:sz w:val="24"/>
          <w:szCs w:val="24"/>
          <w:lang w:eastAsia="es-ES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es-ES"/>
        </w:rPr>
        <w:t>a</w:t>
      </w:r>
      <w:r>
        <w:rPr>
          <w:rFonts w:eastAsia="Times New Roman" w:cs="Arial"/>
          <w:color w:val="FF0000"/>
          <w:sz w:val="24"/>
          <w:szCs w:val="24"/>
          <w:lang w:eastAsia="es-ES"/>
        </w:rPr>
        <w:t xml:space="preserve"> xx</w:t>
      </w: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  de </w:t>
      </w:r>
      <w:r>
        <w:rPr>
          <w:rFonts w:eastAsia="Times New Roman" w:cs="Arial"/>
          <w:color w:val="FF0000"/>
          <w:sz w:val="24"/>
          <w:szCs w:val="24"/>
          <w:lang w:eastAsia="es-ES"/>
        </w:rPr>
        <w:t xml:space="preserve">xx </w:t>
      </w: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 de 20</w:t>
      </w:r>
    </w:p>
    <w:p>
      <w:pPr>
        <w:pStyle w:val="Normal"/>
        <w:tabs>
          <w:tab w:val="left" w:pos="708" w:leader="none"/>
        </w:tabs>
        <w:spacing w:lineRule="atLeast" w:line="100" w:before="28" w:after="28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Calibri"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tLeast" w:line="100" w:before="28" w:after="28"/>
        <w:jc w:val="both"/>
        <w:rPr>
          <w:rFonts w:eastAsia="Times New Roman" w:cs="Arial"/>
          <w:b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tLeast" w:line="100" w:before="28" w:after="28"/>
        <w:jc w:val="both"/>
        <w:rPr>
          <w:rFonts w:eastAsia="Times New Roman" w:cs="Arial"/>
          <w:b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tLeast" w:line="100" w:before="28" w:after="28"/>
        <w:jc w:val="both"/>
        <w:rPr>
          <w:rFonts w:eastAsia="Times New Roman" w:cs="Arial"/>
          <w:b/>
          <w:color w:val="FF0000"/>
          <w:sz w:val="24"/>
          <w:szCs w:val="24"/>
          <w:lang w:eastAsia="es-ES"/>
        </w:rPr>
      </w:pPr>
      <w:r>
        <w:rPr>
          <w:rFonts w:eastAsia="Times New Roman" w:cs="Arial"/>
          <w:b/>
          <w:color w:val="00000A"/>
          <w:sz w:val="24"/>
          <w:szCs w:val="24"/>
          <w:lang w:eastAsia="es-ES"/>
        </w:rPr>
        <w:t xml:space="preserve">A LA ENTIDAD </w:t>
        <w:pict>
          <v:shape id="shape_0" coordsize="997,1" path="m0,0l0,0xm0,0l0,0xm0,0l0,0l0,0l996,0l996,0l996,0l996,0l0,0xe" stroked="f" style="position:absolute;margin-left:0.05pt;margin-top:0pt;width:49.75pt;height:0pt">
            <v:wrap v:type="none"/>
            <v:fill on="false" detectmouseclick="t"/>
            <v:stroke color="#3465a4" joinstyle="round" endcap="flat"/>
          </v:shape>
        </w:pict>
      </w:r>
      <w:r>
        <w:rPr>
          <w:rFonts w:eastAsia="Times New Roman" w:cs="Arial"/>
          <w:b/>
          <w:color w:val="FF0000"/>
          <w:sz w:val="24"/>
          <w:szCs w:val="24"/>
          <w:lang w:eastAsia="es-ES"/>
        </w:rPr>
        <w:t>xxx</w:t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Arial"/>
          <w:b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Arial"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A"/>
          <w:sz w:val="24"/>
          <w:szCs w:val="24"/>
          <w:lang w:eastAsia="es-ES"/>
        </w:rPr>
        <w:t xml:space="preserve">D/DÑA </w:t>
      </w:r>
      <w:r>
        <w:rPr>
          <w:rFonts w:eastAsia="Times New Roman" w:cs="Arial"/>
          <w:b/>
          <w:color w:val="FF0000"/>
          <w:sz w:val="24"/>
          <w:szCs w:val="24"/>
          <w:lang w:eastAsia="es-ES"/>
        </w:rPr>
        <w:t>xxx…</w:t>
      </w:r>
      <w:r>
        <w:rPr>
          <w:rFonts w:eastAsia="Times New Roman" w:cs="Arial"/>
          <w:color w:val="00000A"/>
          <w:sz w:val="24"/>
          <w:szCs w:val="24"/>
          <w:lang w:eastAsia="es-ES"/>
        </w:rPr>
        <w:t>mayor de edad, con domicilio a efectos de notificaciones en</w:t>
      </w:r>
      <w:r>
        <w:rPr>
          <w:rFonts w:eastAsia="Times New Roman" w:cs="Arial"/>
          <w:color w:val="FF0000"/>
          <w:sz w:val="24"/>
          <w:szCs w:val="24"/>
          <w:lang w:eastAsia="es-ES"/>
        </w:rPr>
        <w:t xml:space="preserve"> xxx</w:t>
      </w: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 vecina de </w:t>
      </w:r>
      <w:r>
        <w:rPr>
          <w:rFonts w:eastAsia="Times New Roman" w:cs="Arial"/>
          <w:color w:val="FF0000"/>
          <w:sz w:val="24"/>
          <w:szCs w:val="24"/>
          <w:lang w:eastAsia="es-ES"/>
        </w:rPr>
        <w:t xml:space="preserve">xxxxxx  </w:t>
      </w:r>
      <w:r>
        <w:rPr>
          <w:rFonts w:eastAsia="Times New Roman" w:cs="Arial"/>
          <w:color w:val="00000A"/>
          <w:sz w:val="24"/>
          <w:szCs w:val="24"/>
          <w:lang w:eastAsia="es-ES"/>
        </w:rPr>
        <w:t>, provista de NIF/DNI</w:t>
      </w:r>
      <w:r>
        <w:rPr>
          <w:rFonts w:eastAsia="Times New Roman" w:cs="Arial"/>
          <w:color w:val="FF0000"/>
          <w:sz w:val="24"/>
          <w:szCs w:val="24"/>
          <w:lang w:eastAsia="es-ES"/>
        </w:rPr>
        <w:t xml:space="preserve"> </w:t>
      </w:r>
      <w:bookmarkStart w:id="0" w:name="__DdeLink__75_27157517"/>
      <w:r>
        <w:rPr>
          <w:rFonts w:eastAsia="Times New Roman" w:cs="Arial"/>
          <w:color w:val="FF0000"/>
          <w:sz w:val="24"/>
          <w:szCs w:val="24"/>
          <w:lang w:eastAsia="es-ES"/>
        </w:rPr>
        <w:t>xxx</w:t>
      </w:r>
      <w:bookmarkEnd w:id="0"/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 comparece ante este servicio y, de la mejor forma, procede a</w:t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Arial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center"/>
        <w:rPr>
          <w:rFonts w:eastAsia="Times New Roman" w:cs="Arial"/>
          <w:b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A"/>
          <w:sz w:val="24"/>
          <w:szCs w:val="24"/>
          <w:lang w:eastAsia="es-ES"/>
        </w:rPr>
        <w:t>DECLARAR: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60" w:before="280" w:after="280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shd w:fill="FFFFFF" w:val="clear"/>
          <w:lang w:eastAsia="es-ES"/>
        </w:rPr>
        <w:t>Que</w:t>
      </w:r>
      <w:r>
        <w:rPr>
          <w:rFonts w:eastAsia="Times New Roman" w:cs="Arial"/>
          <w:b/>
          <w:color w:val="000000"/>
          <w:sz w:val="24"/>
          <w:szCs w:val="24"/>
          <w:shd w:fill="FFFFFF" w:val="clear"/>
          <w:lang w:eastAsia="es-ES"/>
        </w:rPr>
        <w:t xml:space="preserve"> </w:t>
      </w:r>
      <w:r>
        <w:rPr>
          <w:rFonts w:eastAsia="Times New Roman" w:cs="Arial"/>
          <w:color w:val="000000"/>
          <w:sz w:val="24"/>
          <w:szCs w:val="24"/>
          <w:shd w:fill="FFFFFF" w:val="clear"/>
          <w:lang w:eastAsia="es-ES"/>
        </w:rPr>
        <w:t>Don/Doña</w:t>
      </w:r>
      <w:r>
        <w:rPr>
          <w:rFonts w:eastAsia="Times New Roman" w:cs="Arial"/>
          <w:color w:val="FF0000"/>
          <w:sz w:val="24"/>
          <w:szCs w:val="24"/>
          <w:shd w:fill="FFFFFF" w:val="clear"/>
          <w:lang w:eastAsia="es-ES"/>
        </w:rPr>
        <w:t xml:space="preserve"> xx</w:t>
      </w:r>
      <w:r>
        <w:rPr>
          <w:rFonts w:eastAsia="Times New Roman" w:cs="Arial"/>
          <w:color w:val="000000"/>
          <w:sz w:val="24"/>
          <w:szCs w:val="24"/>
          <w:shd w:fill="FFFFFF" w:val="clear"/>
          <w:lang w:eastAsia="es-ES"/>
        </w:rPr>
        <w:t xml:space="preserve">   </w:t>
      </w:r>
      <w:r>
        <w:rPr>
          <w:rFonts w:eastAsia="Times New Roman" w:cs="Arial"/>
          <w:b/>
          <w:color w:val="00000A"/>
          <w:sz w:val="24"/>
          <w:szCs w:val="24"/>
          <w:lang w:eastAsia="es-ES"/>
        </w:rPr>
        <w:t xml:space="preserve">, 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reside en el inmueble de </w:t>
      </w:r>
      <w:r>
        <w:rPr>
          <w:rFonts w:eastAsia="Times New Roman" w:cs="Arial"/>
          <w:color w:val="FF0000"/>
          <w:sz w:val="24"/>
          <w:szCs w:val="24"/>
          <w:lang w:eastAsia="es-ES"/>
        </w:rPr>
        <w:t>xx,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zona de </w:t>
      </w:r>
      <w:r>
        <w:rPr>
          <w:rFonts w:eastAsia="Times New Roman" w:cs="Arial"/>
          <w:color w:val="FF0000"/>
          <w:sz w:val="24"/>
          <w:szCs w:val="24"/>
          <w:lang w:eastAsia="es-ES"/>
        </w:rPr>
        <w:t xml:space="preserve"> xx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  en la ciudad de </w:t>
      </w:r>
      <w:r>
        <w:rPr>
          <w:rFonts w:eastAsia="Times New Roman" w:cs="Arial"/>
          <w:color w:val="FF0000"/>
          <w:sz w:val="24"/>
          <w:szCs w:val="24"/>
          <w:lang w:eastAsia="es-ES"/>
        </w:rPr>
        <w:t>xxxxx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(con </w:t>
      </w:r>
      <w:r>
        <w:rPr>
          <w:rFonts w:eastAsia="Times New Roman" w:cs="Arial"/>
          <w:color w:val="FF0000"/>
          <w:sz w:val="24"/>
          <w:szCs w:val="24"/>
          <w:lang w:eastAsia="es-ES"/>
        </w:rPr>
        <w:t>xxxx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, en el caso de residir con menores o mas adultos en la vivienda).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60" w:before="280" w:after="280"/>
        <w:jc w:val="both"/>
        <w:rPr>
          <w:rFonts w:eastAsia="Times New Roman" w:cs="Arial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Que carecen de alternativa habitacional </w:t>
      </w:r>
      <w:bookmarkStart w:id="1" w:name="__DdeLink__67_2039830261"/>
      <w:r>
        <w:rPr>
          <w:rFonts w:eastAsia="Times New Roman" w:cs="Arial"/>
          <w:color w:val="000000"/>
          <w:sz w:val="24"/>
          <w:szCs w:val="24"/>
          <w:lang w:eastAsia="es-ES"/>
        </w:rPr>
        <w:t>(en el caso de residentes en Catalunya incluir:</w:t>
      </w:r>
      <w:bookmarkEnd w:id="1"/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y que se encuentra dentro de los parámetros de riesgo de </w:t>
      </w:r>
      <w:r>
        <w:rPr>
          <w:rFonts w:eastAsia="Times New Roman" w:cs="Arial"/>
          <w:sz w:val="24"/>
          <w:szCs w:val="24"/>
          <w:lang w:eastAsia="es-ES"/>
        </w:rPr>
        <w:t>exclusión residencial fijados por el artículo 5.10 de la Ley 24/2015, del 29 de Julio de Medidas urgentes para afrontar la emergencia en el ámbito de la vivienda y la pobreza energética.)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60" w:before="280" w:after="280"/>
        <w:jc w:val="both"/>
        <w:rPr>
          <w:rFonts w:eastAsia="Times New Roman" w:cs="Arial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Que están dispuestos a firmar un contrato de alquiler social con la entidad bancaria de acuerdo a sus posibilidades económicas (en el caso de residentes en Catalunya incluir: y </w:t>
      </w:r>
      <w:bookmarkStart w:id="2" w:name="_GoBack"/>
      <w:bookmarkEnd w:id="2"/>
      <w:r>
        <w:rPr>
          <w:rFonts w:eastAsia="Times New Roman" w:cs="Arial"/>
          <w:sz w:val="24"/>
          <w:szCs w:val="24"/>
          <w:lang w:eastAsia="es-ES"/>
        </w:rPr>
        <w:t>los parámetros establecidos en la precitada Ley 24/2015):</w:t>
      </w:r>
    </w:p>
    <w:p>
      <w:pPr>
        <w:pStyle w:val="ListParagraph"/>
        <w:numPr>
          <w:ilvl w:val="0"/>
          <w:numId w:val="2"/>
        </w:numPr>
        <w:tabs>
          <w:tab w:val="left" w:pos="708" w:leader="none"/>
        </w:tabs>
        <w:spacing w:lineRule="auto" w:line="360" w:before="280" w:after="280"/>
        <w:contextualSpacing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Máximo 10%, 12% o 18% de los ingresos ponderados de la unidad familiar, según IRSC.</w:t>
      </w:r>
    </w:p>
    <w:p>
      <w:pPr>
        <w:pStyle w:val="ListParagraph"/>
        <w:numPr>
          <w:ilvl w:val="0"/>
          <w:numId w:val="2"/>
        </w:numPr>
        <w:tabs>
          <w:tab w:val="left" w:pos="708" w:leader="none"/>
        </w:tabs>
        <w:spacing w:lineRule="auto" w:line="360" w:before="280" w:after="280"/>
        <w:contextualSpacing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Mínimo de 3 años.</w:t>
      </w:r>
    </w:p>
    <w:p>
      <w:pPr>
        <w:pStyle w:val="ListParagraph"/>
        <w:numPr>
          <w:ilvl w:val="0"/>
          <w:numId w:val="2"/>
        </w:numPr>
        <w:tabs>
          <w:tab w:val="left" w:pos="708" w:leader="none"/>
        </w:tabs>
        <w:spacing w:lineRule="auto" w:line="360" w:before="280" w:after="280"/>
        <w:contextualSpacing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>Acreditación de S.S.</w:t>
      </w:r>
    </w:p>
    <w:p>
      <w:pPr>
        <w:pStyle w:val="Normal"/>
        <w:numPr>
          <w:ilvl w:val="0"/>
          <w:numId w:val="1"/>
        </w:numPr>
        <w:tabs>
          <w:tab w:val="left" w:pos="708" w:leader="none"/>
        </w:tabs>
        <w:spacing w:lineRule="auto" w:line="360" w:before="0" w:after="0"/>
        <w:jc w:val="both"/>
        <w:rPr>
          <w:rFonts w:eastAsia="Times New Roman" w:cs="Arial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  <w:t>Que la situación familiar es totalmente precaria (indicar si procede: con</w:t>
      </w:r>
      <w:r>
        <w:rPr>
          <w:rFonts w:eastAsia="Times New Roman" w:cs="Arial"/>
          <w:color w:val="FF0000"/>
          <w:sz w:val="24"/>
          <w:szCs w:val="24"/>
          <w:lang w:eastAsia="es-ES"/>
        </w:rPr>
        <w:t xml:space="preserve"> xx</w:t>
      </w: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 hijos a cargo / personas dependientes o a su cargo) lo que supone una situación de extrema necesidad. </w:t>
      </w:r>
    </w:p>
    <w:p>
      <w:pPr>
        <w:pStyle w:val="Normal"/>
        <w:tabs>
          <w:tab w:val="left" w:pos="708" w:leader="none"/>
        </w:tabs>
        <w:spacing w:lineRule="auto" w:line="360" w:before="0" w:after="0"/>
        <w:jc w:val="both"/>
        <w:rPr>
          <w:rFonts w:eastAsia="Times New Roman" w:cs="Calibri"/>
          <w:color w:val="00000A"/>
          <w:sz w:val="24"/>
          <w:szCs w:val="24"/>
          <w:u w:val="single"/>
          <w:lang w:eastAsia="es-ES"/>
        </w:rPr>
      </w:pPr>
      <w:r>
        <w:rPr>
          <w:rFonts w:eastAsia="Times New Roman" w:cs="Calibri"/>
          <w:color w:val="00000A"/>
          <w:sz w:val="24"/>
          <w:szCs w:val="24"/>
          <w:u w:val="single"/>
          <w:lang w:eastAsia="es-ES"/>
        </w:rPr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Arial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  <w:t>Las entidades financieras acumulan enormes activos inmobiliarios que, sin embargo, no se ponen a disposición de las personas que los necesitan. Esta situación contradice la función social de la vivienda y la definición de Estado Social y Democrático de Derecho que prescribe la Constitución Española, así como el derecho a una vivienda digna para todos, la prohibición de la especulación, la función social de la propiedad y la subordinación de la riqueza al interés general  (arts. 47, 33.2 y 128).</w:t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Calibri"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Arial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  <w:t>Para las personas que se encuentran sin vivienda, también se vulneran derechos recogidos en la Declaración Universal de Derechos Humanos de 1948 y el Pacto Internacional de Derechos Económicos, Sociales y Culturales de 1977, suscrito por el Estado español.</w:t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Calibri"/>
          <w:color w:val="00000A"/>
          <w:sz w:val="24"/>
          <w:szCs w:val="24"/>
          <w:lang w:eastAsia="es-ES"/>
        </w:rPr>
      </w:r>
    </w:p>
    <w:p>
      <w:pPr>
        <w:pStyle w:val="Normal"/>
        <w:tabs>
          <w:tab w:val="left" w:pos="708" w:leader="none"/>
        </w:tabs>
        <w:spacing w:lineRule="auto" w:line="360" w:before="28" w:after="28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Algunas prácticas protagonizadas por bancos, empresas financieras e inmobiliarias, e incluso instituciones públicas, tienen mucho que ver con esta vulneración de los derechos fundamentales que impiden o dificultan el acceso a bienes de primera necesidad. 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Además, las entidades bancarias, tienen una importante </w:t>
      </w:r>
      <w:r>
        <w:rPr>
          <w:rFonts w:eastAsia="Times New Roman" w:cs="Arial"/>
          <w:color w:val="000000"/>
          <w:sz w:val="24"/>
          <w:szCs w:val="24"/>
          <w:u w:val="single"/>
          <w:lang w:eastAsia="es-ES"/>
        </w:rPr>
        <w:t>responsabilidad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en la generación de la crisis económica que atraviesa España. A pesar de ello, muchas entidades han obtenido ayudas públicas, altamente impopulares, para asegurar su viabilidad, y que ahora han de ser corresponsables de la situación de emergencia social y habitacional de la población.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Arial"/>
          <w:b/>
          <w:color w:val="000000"/>
          <w:sz w:val="24"/>
          <w:szCs w:val="24"/>
          <w:lang w:eastAsia="es-ES"/>
        </w:rPr>
      </w:pP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Por lo que, </w:t>
      </w:r>
      <w:r>
        <w:rPr>
          <w:rFonts w:eastAsia="Times New Roman" w:cs="Arial"/>
          <w:b/>
          <w:color w:val="000000"/>
          <w:sz w:val="24"/>
          <w:szCs w:val="24"/>
          <w:lang w:eastAsia="es-ES"/>
        </w:rPr>
        <w:t>SE SOLICITA: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Arial"/>
          <w:color w:val="000000"/>
          <w:sz w:val="24"/>
          <w:szCs w:val="24"/>
          <w:lang w:eastAsia="es-ES"/>
        </w:rPr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 xml:space="preserve">Primero: </w:t>
      </w:r>
      <w:r>
        <w:rPr>
          <w:rFonts w:eastAsia="Times New Roman" w:cs="Arial"/>
          <w:color w:val="000000"/>
          <w:sz w:val="24"/>
          <w:szCs w:val="24"/>
          <w:lang w:eastAsia="es-ES"/>
        </w:rPr>
        <w:t>Que, como solicitud principal, a resultas de la situación de extremada vulnerabilidad del núcleo familiar se</w:t>
      </w:r>
      <w:r>
        <w:rPr>
          <w:rFonts w:eastAsia="Times New Roman" w:cs="Arial"/>
          <w:color w:val="000000"/>
          <w:sz w:val="24"/>
          <w:szCs w:val="24"/>
          <w:u w:val="none"/>
          <w:lang w:eastAsia="es-ES"/>
        </w:rPr>
        <w:t xml:space="preserve">  </w:t>
      </w:r>
      <w:r>
        <w:rPr>
          <w:rFonts w:eastAsia="Times New Roman" w:cs="Arial"/>
          <w:b/>
          <w:color w:val="000000"/>
          <w:sz w:val="24"/>
          <w:szCs w:val="24"/>
          <w:u w:val="single"/>
          <w:lang w:eastAsia="es-ES"/>
        </w:rPr>
        <w:t>proceda a formalizar un contrato de, como mínimo, de 3  años de alquiler, a un precio que no supere el 10%, 12% o 18% de los ingresos de la unidad familiar, según IRSC</w:t>
      </w:r>
      <w:r>
        <w:rPr>
          <w:rFonts w:eastAsia="Times New Roman" w:cs="Arial"/>
          <w:b/>
          <w:color w:val="000000"/>
          <w:sz w:val="24"/>
          <w:szCs w:val="24"/>
          <w:u w:val="none"/>
          <w:lang w:eastAsia="es-ES"/>
        </w:rPr>
        <w:t xml:space="preserve"> . 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Para facilitar la tramitación de esta medida, esta parte garantiza poder aportar cuanta documentación sea necesaria y requerida por esta entidad. 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Arial"/>
          <w:color w:val="00000A"/>
          <w:sz w:val="24"/>
          <w:szCs w:val="24"/>
          <w:lang w:eastAsia="es-ES"/>
        </w:rPr>
      </w:pPr>
      <w:r>
        <w:rPr>
          <w:rFonts w:eastAsia="Times New Roman" w:cs="Arial"/>
          <w:b/>
          <w:color w:val="000000"/>
          <w:sz w:val="24"/>
          <w:szCs w:val="24"/>
          <w:lang w:eastAsia="es-ES"/>
        </w:rPr>
        <w:t>Segundo:</w:t>
      </w:r>
      <w:r>
        <w:rPr>
          <w:rFonts w:eastAsia="Times New Roman" w:cs="Arial"/>
          <w:color w:val="000000"/>
          <w:sz w:val="24"/>
          <w:szCs w:val="24"/>
          <w:lang w:eastAsia="es-ES"/>
        </w:rPr>
        <w:t xml:space="preserve"> Que la decisión tomada por su entidad sea comunicada por escrito y en un plazo breve a la dirección arriba indicada a efectos de notificaciones.</w:t>
      </w:r>
      <w:r>
        <w:rPr>
          <w:rFonts w:eastAsia="Times New Roman" w:cs="Arial"/>
          <w:color w:val="00000A"/>
          <w:sz w:val="24"/>
          <w:szCs w:val="24"/>
          <w:lang w:eastAsia="es-ES"/>
        </w:rPr>
        <w:t xml:space="preserve">       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Calibri"/>
          <w:color w:val="00000A"/>
          <w:sz w:val="24"/>
          <w:szCs w:val="24"/>
          <w:lang w:eastAsia="es-ES"/>
        </w:rPr>
      </w:pPr>
      <w:r>
        <w:rPr>
          <w:rFonts w:eastAsia="Times New Roman" w:cs="Arial"/>
          <w:color w:val="00000A"/>
          <w:sz w:val="24"/>
          <w:szCs w:val="24"/>
          <w:lang w:eastAsia="es-ES"/>
        </w:rPr>
        <w:t>Atentamente,</w:t>
      </w:r>
      <w:r>
        <w:rPr>
          <w:rFonts w:eastAsia="Times New Roman" w:cs="Calibri"/>
          <w:color w:val="00000A"/>
          <w:sz w:val="24"/>
          <w:szCs w:val="24"/>
          <w:lang w:eastAsia="es-ES"/>
        </w:rPr>
        <w:t xml:space="preserve"> 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Calibri"/>
          <w:color w:val="FF0000"/>
          <w:sz w:val="24"/>
          <w:szCs w:val="24"/>
          <w:lang w:eastAsia="es-ES"/>
        </w:rPr>
      </w:pPr>
      <w:r>
        <w:rPr>
          <w:rFonts w:eastAsia="Times New Roman" w:cs="Calibri"/>
          <w:color w:val="FF0000"/>
          <w:sz w:val="24"/>
          <w:szCs w:val="24"/>
          <w:lang w:eastAsia="es-ES"/>
        </w:rPr>
        <w:t>xxx</w:t>
      </w:r>
    </w:p>
    <w:p>
      <w:pPr>
        <w:pStyle w:val="Normal"/>
        <w:tabs>
          <w:tab w:val="left" w:pos="708" w:leader="none"/>
        </w:tabs>
        <w:spacing w:lineRule="auto" w:line="360" w:before="280" w:after="280"/>
        <w:jc w:val="both"/>
        <w:rPr>
          <w:rFonts w:eastAsia="Times New Roman" w:cs="Calibri"/>
          <w:color w:val="00000A"/>
          <w:szCs w:val="20"/>
          <w:lang w:eastAsia="es-ES"/>
        </w:rPr>
      </w:pPr>
      <w:r>
        <w:rPr>
          <w:rFonts w:eastAsia="Times New Roman" w:cs="Calibri"/>
          <w:color w:val="00000A"/>
          <w:szCs w:val="20"/>
          <w:lang w:eastAsia="es-ES"/>
        </w:rPr>
        <w:t xml:space="preserve">FDO. 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es-ES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a20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extodegloboCar" w:customStyle="1">
    <w:name w:val="Texto de globo Car"/>
    <w:uiPriority w:val="99"/>
    <w:semiHidden/>
    <w:link w:val="Textodeglobo"/>
    <w:rsid w:val="00937c53"/>
    <w:basedOn w:val="DefaultParagraphFont"/>
    <w:rPr>
      <w:rFonts w:ascii="Tahoma" w:hAnsi="Tahoma" w:eastAsia="Calibri" w:cs="Tahoma"/>
      <w:sz w:val="16"/>
      <w:szCs w:val="16"/>
    </w:rPr>
  </w:style>
  <w:style w:type="character" w:styleId="EncabezadoCar" w:customStyle="1">
    <w:name w:val="Encabezado Car"/>
    <w:uiPriority w:val="99"/>
    <w:semiHidden/>
    <w:link w:val="Encabezado"/>
    <w:rsid w:val="00937c53"/>
    <w:basedOn w:val="DefaultParagraphFont"/>
    <w:rPr>
      <w:rFonts w:ascii="Calibri" w:hAnsi="Calibri" w:eastAsia="Calibri" w:cs="Times New Roman"/>
    </w:rPr>
  </w:style>
  <w:style w:type="character" w:styleId="PiedepginaCar" w:customStyle="1">
    <w:name w:val="Pie de página Car"/>
    <w:uiPriority w:val="99"/>
    <w:semiHidden/>
    <w:link w:val="Piedepgina"/>
    <w:rsid w:val="00937c53"/>
    <w:basedOn w:val="DefaultParagraphFont"/>
    <w:rPr>
      <w:rFonts w:ascii="Calibri" w:hAnsi="Calibri" w:eastAsia="Calibri" w:cs="Times New Roman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  <w:style w:type="paragraph" w:styleId="BalloonText">
    <w:name w:val="Balloon Text"/>
    <w:uiPriority w:val="99"/>
    <w:semiHidden/>
    <w:unhideWhenUsed/>
    <w:link w:val="TextodegloboCar"/>
    <w:rsid w:val="00937c53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cabezamiento">
    <w:name w:val="Encabezamiento"/>
    <w:uiPriority w:val="99"/>
    <w:semiHidden/>
    <w:unhideWhenUsed/>
    <w:link w:val="EncabezadoCar"/>
    <w:rsid w:val="00937c53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Pie de página"/>
    <w:uiPriority w:val="99"/>
    <w:semiHidden/>
    <w:unhideWhenUsed/>
    <w:link w:val="PiedepginaCar"/>
    <w:rsid w:val="00937c53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6327b3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2015-12-28T07:59:00Z</dcterms:created>
  <dc:creator>Desc</dc:creator>
  <dc:language>es-ES</dc:language>
  <cp:lastModifiedBy>GABRIEL</cp:lastModifiedBy>
  <dcterms:modified xsi:type="dcterms:W3CDTF">2016-01-01T12:23:00Z</dcterms:modified>
  <cp:revision>7</cp:revision>
</cp:coreProperties>
</file>