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9C" w:rsidRDefault="009A341F">
      <w:r>
        <w:rPr>
          <w:noProof/>
          <w:lang w:val="es-ES" w:eastAsia="es-ES"/>
        </w:rPr>
        <w:drawing>
          <wp:anchor distT="0" distB="0" distL="114935" distR="114935" simplePos="0" relativeHeight="251658240" behindDoc="0" locked="0" layoutInCell="1" allowOverlap="1">
            <wp:simplePos x="0" y="0"/>
            <wp:positionH relativeFrom="column">
              <wp:posOffset>4048125</wp:posOffset>
            </wp:positionH>
            <wp:positionV relativeFrom="paragraph">
              <wp:posOffset>-114300</wp:posOffset>
            </wp:positionV>
            <wp:extent cx="1320165" cy="100203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1320165" cy="1002030"/>
                    </a:xfrm>
                    <a:prstGeom prst="rect">
                      <a:avLst/>
                    </a:prstGeom>
                    <a:noFill/>
                    <a:ln w="9525">
                      <a:noFill/>
                      <a:miter lim="800000"/>
                      <a:headEnd/>
                      <a:tailEnd/>
                    </a:ln>
                  </pic:spPr>
                </pic:pic>
              </a:graphicData>
            </a:graphic>
          </wp:anchor>
        </w:drawing>
      </w:r>
    </w:p>
    <w:p w:rsidR="0021219C" w:rsidRDefault="0021219C">
      <w:pPr>
        <w:jc w:val="both"/>
        <w:rPr>
          <w:rFonts w:ascii="Arial" w:hAnsi="Arial" w:cs="Arial"/>
        </w:rPr>
      </w:pPr>
    </w:p>
    <w:p w:rsidR="0021219C" w:rsidRDefault="009E154C">
      <w:pPr>
        <w:pStyle w:val="NormalWeb"/>
        <w:jc w:val="both"/>
        <w:rPr>
          <w:rFonts w:ascii="Arial" w:hAnsi="Arial" w:cs="Arial"/>
          <w:sz w:val="22"/>
          <w:lang w:val="ca-ES"/>
        </w:rPr>
      </w:pPr>
      <w:r>
        <w:rPr>
          <w:rFonts w:ascii="Arial" w:hAnsi="Arial" w:cs="Arial"/>
          <w:color w:val="00B050"/>
          <w:sz w:val="22"/>
          <w:lang w:val="ca-ES"/>
        </w:rPr>
        <w:t>Localitat</w:t>
      </w:r>
      <w:r w:rsidR="009A341F">
        <w:rPr>
          <w:rFonts w:ascii="Arial" w:hAnsi="Arial" w:cs="Arial"/>
          <w:sz w:val="22"/>
          <w:lang w:val="ca-ES"/>
        </w:rPr>
        <w:t xml:space="preserve">,  a </w:t>
      </w:r>
      <w:r w:rsidR="009A341F">
        <w:rPr>
          <w:rFonts w:ascii="Arial" w:hAnsi="Arial" w:cs="Arial"/>
          <w:color w:val="00B050"/>
          <w:sz w:val="22"/>
          <w:lang w:val="ca-ES"/>
        </w:rPr>
        <w:t>XX</w:t>
      </w:r>
      <w:r w:rsidR="009A341F">
        <w:rPr>
          <w:rFonts w:ascii="Arial" w:hAnsi="Arial" w:cs="Arial"/>
          <w:sz w:val="22"/>
          <w:lang w:val="ca-ES"/>
        </w:rPr>
        <w:t xml:space="preserve"> de</w:t>
      </w:r>
      <w:r w:rsidR="009A341F">
        <w:rPr>
          <w:rFonts w:ascii="Arial" w:hAnsi="Arial" w:cs="Arial"/>
          <w:color w:val="00B050"/>
          <w:sz w:val="22"/>
          <w:lang w:val="ca-ES"/>
        </w:rPr>
        <w:t xml:space="preserve"> XX</w:t>
      </w:r>
      <w:r w:rsidR="009A341F">
        <w:rPr>
          <w:rFonts w:ascii="Arial" w:hAnsi="Arial" w:cs="Arial"/>
          <w:sz w:val="22"/>
          <w:lang w:val="ca-ES"/>
        </w:rPr>
        <w:t xml:space="preserve"> de 20</w:t>
      </w:r>
      <w:r w:rsidR="009A341F">
        <w:rPr>
          <w:rFonts w:ascii="Arial" w:hAnsi="Arial" w:cs="Arial"/>
          <w:color w:val="00B050"/>
          <w:sz w:val="22"/>
          <w:lang w:val="ca-ES"/>
        </w:rPr>
        <w:t>XX</w:t>
      </w:r>
      <w:r w:rsidR="009A341F">
        <w:rPr>
          <w:rFonts w:ascii="Arial" w:hAnsi="Arial" w:cs="Arial"/>
          <w:sz w:val="22"/>
          <w:lang w:val="ca-ES"/>
        </w:rPr>
        <w:t xml:space="preserve"> </w:t>
      </w:r>
    </w:p>
    <w:p w:rsidR="0021219C" w:rsidRDefault="0021219C">
      <w:pPr>
        <w:pStyle w:val="NormalWeb"/>
        <w:jc w:val="both"/>
        <w:rPr>
          <w:rFonts w:ascii="Arial" w:hAnsi="Arial" w:cs="Arial"/>
          <w:color w:val="00B050"/>
          <w:sz w:val="22"/>
          <w:lang w:val="ca-ES"/>
        </w:rPr>
      </w:pPr>
    </w:p>
    <w:p w:rsidR="0021219C" w:rsidRDefault="009A341F" w:rsidP="00A304B9">
      <w:pPr>
        <w:pStyle w:val="NormalWeb"/>
        <w:spacing w:after="200"/>
        <w:jc w:val="both"/>
        <w:rPr>
          <w:rFonts w:ascii="Arial" w:hAnsi="Arial" w:cs="Arial"/>
          <w:sz w:val="22"/>
          <w:lang w:val="ca-ES"/>
        </w:rPr>
      </w:pPr>
      <w:r>
        <w:rPr>
          <w:rFonts w:ascii="Arial" w:hAnsi="Arial" w:cs="Arial"/>
          <w:color w:val="00B050"/>
          <w:sz w:val="22"/>
          <w:lang w:val="ca-ES"/>
        </w:rPr>
        <w:t>Entitat bancaria</w:t>
      </w:r>
      <w:r>
        <w:rPr>
          <w:rFonts w:ascii="Arial" w:hAnsi="Arial" w:cs="Arial"/>
          <w:sz w:val="22"/>
          <w:lang w:val="ca-ES"/>
        </w:rPr>
        <w:t xml:space="preserve">, oficina del carrer </w:t>
      </w:r>
      <w:r>
        <w:rPr>
          <w:rFonts w:ascii="Arial" w:hAnsi="Arial" w:cs="Arial"/>
          <w:color w:val="00B050"/>
          <w:sz w:val="22"/>
          <w:lang w:val="ca-ES"/>
        </w:rPr>
        <w:t>XXXXX</w:t>
      </w:r>
      <w:r>
        <w:rPr>
          <w:rFonts w:ascii="Arial" w:hAnsi="Arial" w:cs="Arial"/>
          <w:sz w:val="22"/>
          <w:lang w:val="ca-ES"/>
        </w:rPr>
        <w:t xml:space="preserve"> </w:t>
      </w:r>
      <w:proofErr w:type="spellStart"/>
      <w:r>
        <w:rPr>
          <w:rFonts w:ascii="Arial" w:hAnsi="Arial" w:cs="Arial"/>
          <w:sz w:val="22"/>
          <w:lang w:val="ca-ES"/>
        </w:rPr>
        <w:t>núm</w:t>
      </w:r>
      <w:proofErr w:type="spellEnd"/>
      <w:r>
        <w:rPr>
          <w:rFonts w:ascii="Arial" w:hAnsi="Arial" w:cs="Arial"/>
          <w:sz w:val="22"/>
          <w:lang w:val="ca-ES"/>
        </w:rPr>
        <w:t xml:space="preserve"> </w:t>
      </w:r>
      <w:r>
        <w:rPr>
          <w:rFonts w:ascii="Arial" w:hAnsi="Arial" w:cs="Arial"/>
          <w:color w:val="00B050"/>
          <w:sz w:val="22"/>
          <w:lang w:val="ca-ES"/>
        </w:rPr>
        <w:t>XXX</w:t>
      </w:r>
      <w:r>
        <w:rPr>
          <w:rFonts w:ascii="Arial" w:hAnsi="Arial" w:cs="Arial"/>
          <w:sz w:val="22"/>
          <w:lang w:val="ca-ES"/>
        </w:rPr>
        <w:t xml:space="preserve"> de </w:t>
      </w:r>
      <w:r>
        <w:rPr>
          <w:rFonts w:ascii="Arial" w:hAnsi="Arial" w:cs="Arial"/>
          <w:color w:val="00B050"/>
          <w:sz w:val="22"/>
          <w:lang w:val="ca-ES"/>
        </w:rPr>
        <w:t>localitat</w:t>
      </w:r>
      <w:r>
        <w:rPr>
          <w:rFonts w:ascii="Arial" w:hAnsi="Arial" w:cs="Arial"/>
          <w:sz w:val="22"/>
          <w:lang w:val="ca-ES"/>
        </w:rPr>
        <w:t xml:space="preserve">. </w:t>
      </w:r>
    </w:p>
    <w:p w:rsidR="0021219C" w:rsidRDefault="0021219C" w:rsidP="00A304B9">
      <w:pPr>
        <w:pStyle w:val="NormalWeb"/>
        <w:spacing w:after="200"/>
        <w:jc w:val="both"/>
        <w:rPr>
          <w:rFonts w:ascii="Arial" w:hAnsi="Arial" w:cs="Arial"/>
          <w:color w:val="00B050"/>
          <w:sz w:val="22"/>
          <w:lang w:val="ca-ES"/>
        </w:rPr>
      </w:pPr>
    </w:p>
    <w:p w:rsidR="0021219C" w:rsidRDefault="009A341F" w:rsidP="00A304B9">
      <w:pPr>
        <w:pStyle w:val="NormalWeb"/>
        <w:spacing w:after="200"/>
        <w:jc w:val="both"/>
        <w:rPr>
          <w:rFonts w:ascii="Arial" w:hAnsi="Arial" w:cs="Arial"/>
          <w:sz w:val="22"/>
          <w:lang w:val="ca-ES"/>
        </w:rPr>
      </w:pPr>
      <w:r>
        <w:rPr>
          <w:rFonts w:ascii="Arial" w:hAnsi="Arial" w:cs="Arial"/>
          <w:color w:val="00B050"/>
          <w:sz w:val="22"/>
          <w:lang w:val="ca-ES"/>
        </w:rPr>
        <w:t>Nom hipotecat/da</w:t>
      </w:r>
      <w:r>
        <w:rPr>
          <w:rFonts w:ascii="Arial" w:hAnsi="Arial" w:cs="Arial"/>
          <w:sz w:val="22"/>
          <w:lang w:val="ca-ES"/>
        </w:rPr>
        <w:t xml:space="preserve"> </w:t>
      </w:r>
      <w:r>
        <w:rPr>
          <w:rFonts w:ascii="Arial" w:hAnsi="Arial" w:cs="Arial"/>
          <w:color w:val="00B050"/>
          <w:sz w:val="22"/>
          <w:lang w:val="ca-ES"/>
        </w:rPr>
        <w:t>1</w:t>
      </w:r>
      <w:r>
        <w:rPr>
          <w:rFonts w:ascii="Arial" w:hAnsi="Arial" w:cs="Arial"/>
          <w:sz w:val="22"/>
          <w:lang w:val="ca-ES"/>
        </w:rPr>
        <w:t xml:space="preserve">, major d’edat, amb domicili a efectes de notificacions al carrer </w:t>
      </w:r>
      <w:r>
        <w:rPr>
          <w:rFonts w:ascii="Arial" w:hAnsi="Arial" w:cs="Arial"/>
          <w:color w:val="00B050"/>
          <w:sz w:val="22"/>
          <w:lang w:val="ca-ES"/>
        </w:rPr>
        <w:t>XX</w:t>
      </w:r>
      <w:r w:rsidR="004D7569">
        <w:rPr>
          <w:rFonts w:ascii="Arial" w:hAnsi="Arial" w:cs="Arial"/>
          <w:color w:val="00B050"/>
          <w:sz w:val="22"/>
          <w:lang w:val="ca-ES"/>
        </w:rPr>
        <w:t>XX</w:t>
      </w:r>
      <w:r>
        <w:rPr>
          <w:rFonts w:ascii="Arial" w:hAnsi="Arial" w:cs="Arial"/>
          <w:color w:val="00B050"/>
          <w:sz w:val="22"/>
          <w:lang w:val="ca-ES"/>
        </w:rPr>
        <w:t>XX</w:t>
      </w:r>
      <w:r>
        <w:rPr>
          <w:rFonts w:ascii="Arial" w:hAnsi="Arial" w:cs="Arial"/>
          <w:sz w:val="22"/>
          <w:lang w:val="ca-ES"/>
        </w:rPr>
        <w:t xml:space="preserve"> numero </w:t>
      </w:r>
      <w:r>
        <w:rPr>
          <w:rFonts w:ascii="Arial" w:hAnsi="Arial" w:cs="Arial"/>
          <w:color w:val="00B050"/>
          <w:sz w:val="22"/>
          <w:lang w:val="ca-ES"/>
        </w:rPr>
        <w:t>XX</w:t>
      </w:r>
      <w:r>
        <w:rPr>
          <w:rFonts w:ascii="Arial" w:hAnsi="Arial" w:cs="Arial"/>
          <w:sz w:val="22"/>
          <w:lang w:val="ca-ES"/>
        </w:rPr>
        <w:t xml:space="preserve">, pis </w:t>
      </w:r>
      <w:r>
        <w:rPr>
          <w:rFonts w:ascii="Arial" w:hAnsi="Arial" w:cs="Arial"/>
          <w:color w:val="00B050"/>
          <w:sz w:val="22"/>
          <w:lang w:val="ca-ES"/>
        </w:rPr>
        <w:t>XX</w:t>
      </w:r>
      <w:r>
        <w:rPr>
          <w:rFonts w:ascii="Arial" w:hAnsi="Arial" w:cs="Arial"/>
          <w:sz w:val="22"/>
          <w:lang w:val="ca-ES"/>
        </w:rPr>
        <w:t xml:space="preserve"> de </w:t>
      </w:r>
      <w:r w:rsidR="009E154C">
        <w:rPr>
          <w:rFonts w:ascii="Arial" w:hAnsi="Arial" w:cs="Arial"/>
          <w:color w:val="00B050"/>
          <w:sz w:val="22"/>
          <w:lang w:val="ca-ES"/>
        </w:rPr>
        <w:t>localitat</w:t>
      </w:r>
      <w:r>
        <w:rPr>
          <w:rFonts w:ascii="Arial" w:hAnsi="Arial" w:cs="Arial"/>
          <w:sz w:val="22"/>
          <w:lang w:val="ca-ES"/>
        </w:rPr>
        <w:t xml:space="preserve">, amb D.N.I/N.I.E. </w:t>
      </w:r>
      <w:r>
        <w:rPr>
          <w:rFonts w:ascii="Arial" w:hAnsi="Arial" w:cs="Arial"/>
          <w:color w:val="00B050"/>
          <w:sz w:val="22"/>
          <w:lang w:val="ca-ES"/>
        </w:rPr>
        <w:t>XXXXXXX</w:t>
      </w:r>
      <w:r>
        <w:rPr>
          <w:rFonts w:ascii="Arial" w:hAnsi="Arial" w:cs="Arial"/>
          <w:sz w:val="22"/>
          <w:lang w:val="ca-ES"/>
        </w:rPr>
        <w:t xml:space="preserve">,  i  </w:t>
      </w:r>
      <w:r>
        <w:rPr>
          <w:rFonts w:ascii="Arial" w:hAnsi="Arial" w:cs="Arial"/>
          <w:color w:val="00B050"/>
          <w:sz w:val="22"/>
          <w:lang w:val="ca-ES"/>
        </w:rPr>
        <w:t>Nom  hipotecat/da 2</w:t>
      </w:r>
      <w:r>
        <w:rPr>
          <w:rFonts w:ascii="Arial" w:hAnsi="Arial" w:cs="Arial"/>
          <w:sz w:val="22"/>
          <w:lang w:val="ca-ES"/>
        </w:rPr>
        <w:t xml:space="preserve">, major d’edat, amb domicili a efectes de notificacions al carrer </w:t>
      </w:r>
      <w:r>
        <w:rPr>
          <w:rFonts w:ascii="Arial" w:hAnsi="Arial" w:cs="Arial"/>
          <w:color w:val="00B050"/>
          <w:sz w:val="22"/>
          <w:lang w:val="ca-ES"/>
        </w:rPr>
        <w:t>XXXX</w:t>
      </w:r>
      <w:r>
        <w:rPr>
          <w:rFonts w:ascii="Arial" w:hAnsi="Arial" w:cs="Arial"/>
          <w:sz w:val="22"/>
          <w:lang w:val="ca-ES"/>
        </w:rPr>
        <w:t xml:space="preserve"> numero </w:t>
      </w:r>
      <w:r>
        <w:rPr>
          <w:rFonts w:ascii="Arial" w:hAnsi="Arial" w:cs="Arial"/>
          <w:color w:val="00B050"/>
          <w:sz w:val="22"/>
          <w:lang w:val="ca-ES"/>
        </w:rPr>
        <w:t>X</w:t>
      </w:r>
      <w:r w:rsidR="004D7569">
        <w:rPr>
          <w:rFonts w:ascii="Arial" w:hAnsi="Arial" w:cs="Arial"/>
          <w:color w:val="00B050"/>
          <w:sz w:val="22"/>
          <w:lang w:val="ca-ES"/>
        </w:rPr>
        <w:t>XXXX</w:t>
      </w:r>
      <w:r>
        <w:rPr>
          <w:rFonts w:ascii="Arial" w:hAnsi="Arial" w:cs="Arial"/>
          <w:color w:val="00B050"/>
          <w:sz w:val="22"/>
          <w:lang w:val="ca-ES"/>
        </w:rPr>
        <w:t>X</w:t>
      </w:r>
      <w:r>
        <w:rPr>
          <w:rFonts w:ascii="Arial" w:hAnsi="Arial" w:cs="Arial"/>
          <w:sz w:val="22"/>
          <w:lang w:val="ca-ES"/>
        </w:rPr>
        <w:t xml:space="preserve">, pis </w:t>
      </w:r>
      <w:r>
        <w:rPr>
          <w:rFonts w:ascii="Arial" w:hAnsi="Arial" w:cs="Arial"/>
          <w:color w:val="00B050"/>
          <w:sz w:val="22"/>
          <w:lang w:val="ca-ES"/>
        </w:rPr>
        <w:t>XX</w:t>
      </w:r>
      <w:r>
        <w:rPr>
          <w:rFonts w:ascii="Arial" w:hAnsi="Arial" w:cs="Arial"/>
          <w:sz w:val="22"/>
          <w:lang w:val="ca-ES"/>
        </w:rPr>
        <w:t xml:space="preserve"> de </w:t>
      </w:r>
      <w:r w:rsidR="009E154C">
        <w:rPr>
          <w:rFonts w:ascii="Arial" w:hAnsi="Arial" w:cs="Arial"/>
          <w:color w:val="00B050"/>
          <w:sz w:val="22"/>
          <w:lang w:val="ca-ES"/>
        </w:rPr>
        <w:t>localitat</w:t>
      </w:r>
      <w:r>
        <w:rPr>
          <w:rFonts w:ascii="Arial" w:hAnsi="Arial" w:cs="Arial"/>
          <w:sz w:val="22"/>
          <w:lang w:val="ca-ES"/>
        </w:rPr>
        <w:t xml:space="preserve">, amb D.N.I/N.I.E. </w:t>
      </w:r>
      <w:r>
        <w:rPr>
          <w:rFonts w:ascii="Arial" w:hAnsi="Arial" w:cs="Arial"/>
          <w:color w:val="00B050"/>
          <w:sz w:val="22"/>
          <w:lang w:val="ca-ES"/>
        </w:rPr>
        <w:t xml:space="preserve">XXXXXXX, </w:t>
      </w:r>
      <w:r>
        <w:rPr>
          <w:rFonts w:ascii="Arial" w:hAnsi="Arial" w:cs="Arial"/>
          <w:sz w:val="22"/>
          <w:lang w:val="ca-ES"/>
        </w:rPr>
        <w:t xml:space="preserve">compareixen davant aquest servei, de la millor manera, procedeixen a  </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xml:space="preserve">DECLARAR: </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xml:space="preserve">- Que en l’actualitat </w:t>
      </w:r>
      <w:r>
        <w:rPr>
          <w:rFonts w:ascii="Arial" w:hAnsi="Arial" w:cs="Arial"/>
          <w:color w:val="00B050"/>
          <w:sz w:val="22"/>
          <w:lang w:val="ca-ES"/>
        </w:rPr>
        <w:t>Nom hipotecat/da</w:t>
      </w:r>
      <w:r>
        <w:rPr>
          <w:rFonts w:ascii="Arial" w:hAnsi="Arial" w:cs="Arial"/>
          <w:sz w:val="22"/>
          <w:lang w:val="ca-ES"/>
        </w:rPr>
        <w:t xml:space="preserve"> </w:t>
      </w:r>
      <w:r>
        <w:rPr>
          <w:rFonts w:ascii="Arial" w:hAnsi="Arial" w:cs="Arial"/>
          <w:color w:val="00B050"/>
          <w:sz w:val="22"/>
          <w:lang w:val="ca-ES"/>
        </w:rPr>
        <w:t xml:space="preserve">1 </w:t>
      </w:r>
      <w:r>
        <w:rPr>
          <w:rFonts w:ascii="Arial" w:hAnsi="Arial" w:cs="Arial"/>
          <w:sz w:val="22"/>
          <w:lang w:val="ca-ES"/>
        </w:rPr>
        <w:t xml:space="preserve">i </w:t>
      </w:r>
      <w:r>
        <w:rPr>
          <w:rFonts w:ascii="Arial" w:hAnsi="Arial" w:cs="Arial"/>
          <w:color w:val="00B050"/>
          <w:sz w:val="22"/>
          <w:lang w:val="ca-ES"/>
        </w:rPr>
        <w:t>Nom hipotecat/da</w:t>
      </w:r>
      <w:r>
        <w:rPr>
          <w:rFonts w:ascii="Arial" w:hAnsi="Arial" w:cs="Arial"/>
          <w:sz w:val="22"/>
          <w:lang w:val="ca-ES"/>
        </w:rPr>
        <w:t xml:space="preserve"> </w:t>
      </w:r>
      <w:r>
        <w:rPr>
          <w:rFonts w:ascii="Arial" w:hAnsi="Arial" w:cs="Arial"/>
          <w:color w:val="00B050"/>
          <w:sz w:val="22"/>
          <w:lang w:val="ca-ES"/>
        </w:rPr>
        <w:t xml:space="preserve">2 </w:t>
      </w:r>
      <w:r>
        <w:rPr>
          <w:rFonts w:ascii="Arial" w:hAnsi="Arial" w:cs="Arial"/>
          <w:sz w:val="22"/>
          <w:lang w:val="ca-ES"/>
        </w:rPr>
        <w:t>son part demandada en procediment d’execució hipotecària o desnonament per impagament de lloguer</w:t>
      </w:r>
      <w:r w:rsidR="004D7569">
        <w:rPr>
          <w:rFonts w:ascii="Arial" w:hAnsi="Arial" w:cs="Arial"/>
          <w:sz w:val="22"/>
          <w:lang w:val="ca-ES"/>
        </w:rPr>
        <w:t>, procediment</w:t>
      </w:r>
      <w:r>
        <w:rPr>
          <w:rFonts w:ascii="Arial" w:hAnsi="Arial" w:cs="Arial"/>
          <w:sz w:val="22"/>
          <w:lang w:val="ca-ES"/>
        </w:rPr>
        <w:t xml:space="preserve"> promogut per la interposició de demanda per la seva entitat. </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xml:space="preserve">- Que el 6 d’agost 2015 va entrar en vigor la Llei 24/2015, del 29 de juliol de Mesures urgents per a afrontar l'emergència en l'àmbit de l'habitatge i la pobresa energètica, </w:t>
      </w:r>
      <w:r w:rsidR="004D7569">
        <w:rPr>
          <w:rFonts w:ascii="Arial" w:hAnsi="Arial" w:cs="Arial"/>
          <w:sz w:val="22"/>
          <w:lang w:val="ca-ES"/>
        </w:rPr>
        <w:t>es</w:t>
      </w:r>
      <w:r>
        <w:rPr>
          <w:rFonts w:ascii="Arial" w:hAnsi="Arial" w:cs="Arial"/>
          <w:sz w:val="22"/>
          <w:lang w:val="ca-ES"/>
        </w:rPr>
        <w:t>sent per això d'obligada aplicació des d'aquesta mateixa data</w:t>
      </w:r>
      <w:r w:rsidR="004D7569">
        <w:rPr>
          <w:rFonts w:ascii="Arial" w:hAnsi="Arial" w:cs="Arial"/>
          <w:sz w:val="22"/>
          <w:lang w:val="ca-ES"/>
        </w:rPr>
        <w:t xml:space="preserve"> en tot Catalunya</w:t>
      </w:r>
      <w:r>
        <w:rPr>
          <w:rFonts w:ascii="Arial" w:hAnsi="Arial" w:cs="Arial"/>
          <w:sz w:val="22"/>
          <w:lang w:val="ca-ES"/>
        </w:rPr>
        <w:t xml:space="preserve">. </w:t>
      </w:r>
    </w:p>
    <w:p w:rsidR="0021219C" w:rsidRPr="00DE5E80" w:rsidRDefault="009A341F" w:rsidP="00A304B9">
      <w:pPr>
        <w:pStyle w:val="NormalWeb"/>
        <w:spacing w:after="200"/>
        <w:jc w:val="both"/>
        <w:rPr>
          <w:rFonts w:ascii="Arial" w:hAnsi="Arial" w:cs="Arial"/>
          <w:sz w:val="22"/>
          <w:lang w:val="ca-ES"/>
        </w:rPr>
      </w:pPr>
      <w:r>
        <w:rPr>
          <w:rFonts w:ascii="Arial" w:hAnsi="Arial" w:cs="Arial"/>
          <w:sz w:val="22"/>
          <w:lang w:val="ca-ES"/>
        </w:rPr>
        <w:t>- Que la cita</w:t>
      </w:r>
      <w:r w:rsidR="004D7569">
        <w:rPr>
          <w:rFonts w:ascii="Arial" w:hAnsi="Arial" w:cs="Arial"/>
          <w:sz w:val="22"/>
          <w:lang w:val="ca-ES"/>
        </w:rPr>
        <w:t>da llei, en el seu article</w:t>
      </w:r>
      <w:r>
        <w:rPr>
          <w:rFonts w:ascii="Arial" w:hAnsi="Arial" w:cs="Arial"/>
          <w:sz w:val="22"/>
          <w:lang w:val="ca-ES"/>
        </w:rPr>
        <w:t xml:space="preserve"> 5.2, </w:t>
      </w:r>
      <w:r w:rsidR="004D7569">
        <w:rPr>
          <w:rFonts w:ascii="Arial" w:hAnsi="Arial" w:cs="Arial"/>
          <w:sz w:val="22"/>
          <w:lang w:val="ca-ES"/>
        </w:rPr>
        <w:t xml:space="preserve">obliga a oferir una proposta de lloguer social </w:t>
      </w:r>
      <w:r>
        <w:rPr>
          <w:rFonts w:ascii="Arial" w:hAnsi="Arial" w:cs="Arial"/>
          <w:sz w:val="22"/>
          <w:lang w:val="ca-ES"/>
        </w:rPr>
        <w:t xml:space="preserve"> abans d’interposar qualsevol demanda judicial d’execució hipotecaria o de desnonament per impagament de lloguer, als afectats si l’adquisició, </w:t>
      </w:r>
      <w:r w:rsidR="00A304B9">
        <w:rPr>
          <w:rFonts w:ascii="Arial" w:hAnsi="Arial" w:cs="Arial"/>
          <w:sz w:val="22"/>
          <w:lang w:val="ca-ES"/>
        </w:rPr>
        <w:t>compravenda</w:t>
      </w:r>
      <w:r>
        <w:rPr>
          <w:rFonts w:ascii="Arial" w:hAnsi="Arial" w:cs="Arial"/>
          <w:sz w:val="22"/>
          <w:lang w:val="ca-ES"/>
        </w:rPr>
        <w:t xml:space="preserve"> o procediment afecta a persones o unitats familiars que no tinguin alternativa d’habitatge pròpia i es trobin dins els paràmetres de risc d’exclusió residen</w:t>
      </w:r>
      <w:r w:rsidRPr="00DE5E80">
        <w:rPr>
          <w:rFonts w:ascii="Arial" w:hAnsi="Arial" w:cs="Arial"/>
          <w:sz w:val="22"/>
          <w:lang w:val="ca-ES"/>
        </w:rPr>
        <w:t>cial</w:t>
      </w:r>
      <w:r>
        <w:rPr>
          <w:rFonts w:ascii="Arial" w:hAnsi="Arial" w:cs="Arial"/>
          <w:sz w:val="22"/>
          <w:lang w:val="ca-ES"/>
        </w:rPr>
        <w:t>.</w:t>
      </w:r>
      <w:r w:rsidR="004D7569">
        <w:rPr>
          <w:rFonts w:ascii="Arial" w:hAnsi="Arial" w:cs="Arial"/>
          <w:sz w:val="22"/>
          <w:lang w:val="ca-ES"/>
        </w:rPr>
        <w:t xml:space="preserve"> També imposa dita obligació, article</w:t>
      </w:r>
      <w:r w:rsidR="004D7569" w:rsidRPr="004D7569">
        <w:rPr>
          <w:rFonts w:ascii="Arial" w:hAnsi="Arial" w:cs="Arial"/>
          <w:sz w:val="22"/>
          <w:lang w:val="ca-ES"/>
        </w:rPr>
        <w:t xml:space="preserve"> </w:t>
      </w:r>
      <w:r w:rsidR="004D7569">
        <w:rPr>
          <w:rFonts w:ascii="Arial" w:hAnsi="Arial" w:cs="Arial"/>
          <w:sz w:val="22"/>
          <w:lang w:val="ca-ES"/>
        </w:rPr>
        <w:t>5.1,  abans d’adquirir un habitatge resultant d’assoliments d’acords de compensació o dacions en pagaments de préstecs o crèdits hipotecaris sobre habitatge habitual, abans de la signatura de compravenda d’un habitatge que tingui com a causa de la venda la impossibilitat per part del prestatari el retor del préstec hipotecari.</w:t>
      </w:r>
    </w:p>
    <w:p w:rsidR="0021219C" w:rsidRPr="00DE5E80" w:rsidRDefault="009A341F" w:rsidP="00A304B9">
      <w:pPr>
        <w:pStyle w:val="NormalWeb"/>
        <w:spacing w:after="200"/>
        <w:jc w:val="both"/>
        <w:rPr>
          <w:rFonts w:ascii="Arial" w:hAnsi="Arial" w:cs="Arial"/>
          <w:bCs/>
          <w:color w:val="000000"/>
          <w:sz w:val="22"/>
          <w:lang w:val="ca-ES"/>
        </w:rPr>
      </w:pPr>
      <w:r w:rsidRPr="00DE5E80">
        <w:rPr>
          <w:rFonts w:ascii="Arial" w:hAnsi="Arial" w:cs="Arial"/>
          <w:bCs/>
          <w:sz w:val="22"/>
          <w:lang w:val="ca-ES"/>
        </w:rPr>
        <w:t>- P</w:t>
      </w:r>
      <w:r w:rsidRPr="00DE5E80">
        <w:rPr>
          <w:rFonts w:ascii="Arial" w:hAnsi="Arial" w:cs="Arial"/>
          <w:bCs/>
          <w:color w:val="000000"/>
          <w:sz w:val="22"/>
          <w:lang w:val="ca-ES"/>
        </w:rPr>
        <w:t xml:space="preserve">erquè l'oferta pugui ésser considerada de lloguer social ha de complir tres requisits: </w:t>
      </w:r>
    </w:p>
    <w:p w:rsidR="0021219C" w:rsidRPr="00DE5E80" w:rsidRDefault="009A341F" w:rsidP="00A304B9">
      <w:pPr>
        <w:pStyle w:val="NNormal"/>
        <w:spacing w:before="0" w:after="200" w:line="276" w:lineRule="auto"/>
        <w:rPr>
          <w:rFonts w:ascii="Arial" w:hAnsi="Arial"/>
          <w:bCs/>
          <w:color w:val="000000"/>
        </w:rPr>
      </w:pPr>
      <w:r w:rsidRPr="00DE5E80">
        <w:rPr>
          <w:rFonts w:ascii="Arial" w:hAnsi="Arial"/>
          <w:bCs/>
          <w:color w:val="000000"/>
        </w:rPr>
        <w:t>a) Ha de fixar rendes que garanteixin que l’esforç pel pagament del lloguer no superi el 10% dels ingressos ponderats de la unitat familiar, si estan per sota del 0,89 de l’indicador de renda de suficiència (IRSC), o el 12% dels ingressos ponderats de la unitat familiar, si estan per sota del 0,95 de l’IRSC, o el 18% dels ingressos ponderats de la unitat familiar, si són iguals o superiors al 0,95 de l'IRSC.</w:t>
      </w:r>
    </w:p>
    <w:p w:rsidR="00A304B9" w:rsidRPr="00DE5E80" w:rsidRDefault="009A341F" w:rsidP="00A304B9">
      <w:pPr>
        <w:pStyle w:val="NNormal"/>
        <w:spacing w:before="0" w:after="200" w:line="276" w:lineRule="auto"/>
        <w:rPr>
          <w:rFonts w:ascii="Arial" w:hAnsi="Arial"/>
          <w:bCs/>
          <w:color w:val="000000"/>
        </w:rPr>
      </w:pPr>
      <w:r w:rsidRPr="00DE5E80">
        <w:rPr>
          <w:rFonts w:ascii="Arial" w:hAnsi="Arial"/>
          <w:bCs/>
          <w:color w:val="000000"/>
        </w:rPr>
        <w:t>b) Ha d’oferir preferentment l’habitatge afectat pel procediment o, alternativament, un habitatge situat dins el mateix terme municipal, llevat que es disposi d’un informe dels serveis socials municipals que acrediti que el trasllat a un altre terme municipal no ha d’afectar negativament la situació de risc d’exclusió residencial de la unitat familiar.</w:t>
      </w:r>
    </w:p>
    <w:p w:rsidR="0021219C" w:rsidRPr="00DE5E80" w:rsidRDefault="009A341F" w:rsidP="00A304B9">
      <w:pPr>
        <w:pStyle w:val="NormalWeb"/>
        <w:spacing w:after="200"/>
        <w:jc w:val="both"/>
        <w:rPr>
          <w:rFonts w:ascii="Arial" w:hAnsi="Arial" w:cs="Arial"/>
          <w:bCs/>
          <w:color w:val="000000"/>
          <w:sz w:val="22"/>
          <w:lang w:val="ca-ES"/>
        </w:rPr>
      </w:pPr>
      <w:r w:rsidRPr="00DE5E80">
        <w:rPr>
          <w:rFonts w:ascii="Arial" w:hAnsi="Arial" w:cs="Arial"/>
          <w:bCs/>
          <w:color w:val="000000"/>
          <w:sz w:val="22"/>
          <w:lang w:val="ca-ES"/>
        </w:rPr>
        <w:lastRenderedPageBreak/>
        <w:t>c) Ha d’ésser per a un període de com a mínim tres anys.</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xml:space="preserve">- Que el deure de comprovar que l’afectat no te alternativa </w:t>
      </w:r>
      <w:proofErr w:type="spellStart"/>
      <w:r>
        <w:rPr>
          <w:rFonts w:ascii="Arial" w:hAnsi="Arial" w:cs="Arial"/>
          <w:sz w:val="22"/>
          <w:lang w:val="ca-ES"/>
        </w:rPr>
        <w:t>habitacional</w:t>
      </w:r>
      <w:proofErr w:type="spellEnd"/>
      <w:r>
        <w:rPr>
          <w:rFonts w:ascii="Arial" w:hAnsi="Arial" w:cs="Arial"/>
          <w:sz w:val="22"/>
          <w:lang w:val="ca-ES"/>
        </w:rPr>
        <w:t xml:space="preserve"> i  es troba dins els paràmetres de risc d’exclusió residencial recau sobre l’adquirent / demandant.</w:t>
      </w:r>
    </w:p>
    <w:p w:rsidR="0023088E" w:rsidRDefault="0023088E" w:rsidP="0023088E">
      <w:pPr>
        <w:pStyle w:val="NormalWeb"/>
        <w:spacing w:after="200"/>
        <w:jc w:val="both"/>
        <w:rPr>
          <w:rFonts w:ascii="Arial" w:hAnsi="Arial" w:cs="Arial"/>
          <w:sz w:val="22"/>
          <w:lang w:val="ca-ES"/>
        </w:rPr>
      </w:pPr>
      <w:r>
        <w:rPr>
          <w:rFonts w:ascii="Arial" w:hAnsi="Arial" w:cs="Arial"/>
          <w:sz w:val="22"/>
          <w:lang w:val="ca-ES"/>
        </w:rPr>
        <w:t>- Que d’acord la Disposició Transitòria Segona de l’esmentada llei, el demandant/ executant de procediments d’execució hipotecària o desnonament per impagament de lloguer que estiguin en tràmit de substanciació o d’execució en el moment d’entrada en vigor d’aquesta llei i que tinguin per objecte habitatges propietat de persones jurídiques  a que fan referència les lletres a i b de l’article 5.2, te l’obligació d’oferir un lloguer social en els termes establerts en l’article 5.7 de la llei abans d’adquirir el domini de l’habitatge.</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Que la seva entitat es una persona jurídica</w:t>
      </w:r>
      <w:r w:rsidR="004D7569">
        <w:rPr>
          <w:rFonts w:ascii="Arial" w:hAnsi="Arial" w:cs="Arial"/>
          <w:sz w:val="22"/>
          <w:lang w:val="ca-ES"/>
        </w:rPr>
        <w:t xml:space="preserve"> amb dita obligació ja que encaixa en</w:t>
      </w:r>
      <w:r>
        <w:rPr>
          <w:rFonts w:ascii="Arial" w:hAnsi="Arial" w:cs="Arial"/>
          <w:sz w:val="22"/>
          <w:lang w:val="ca-ES"/>
        </w:rPr>
        <w:t xml:space="preserve"> la definició</w:t>
      </w:r>
      <w:r w:rsidR="004D7569">
        <w:rPr>
          <w:rFonts w:ascii="Arial" w:hAnsi="Arial" w:cs="Arial"/>
          <w:sz w:val="22"/>
          <w:lang w:val="ca-ES"/>
        </w:rPr>
        <w:t xml:space="preserve"> de</w:t>
      </w:r>
      <w:r>
        <w:rPr>
          <w:rFonts w:ascii="Arial" w:hAnsi="Arial" w:cs="Arial"/>
          <w:sz w:val="22"/>
          <w:lang w:val="ca-ES"/>
        </w:rPr>
        <w:t xml:space="preserve"> gran tenidor d’habitatge d’article  5.9 o ha adquirit desprès del 30 d’abril de 2008 habitatges que siguin, en primera o ulteriors transmissions, provinents d’execucions hipotecaries, d’acords de compensació de deutes o de dació en pagament o </w:t>
      </w:r>
      <w:r w:rsidR="00A304B9">
        <w:rPr>
          <w:rFonts w:ascii="Arial" w:hAnsi="Arial" w:cs="Arial"/>
          <w:sz w:val="22"/>
          <w:lang w:val="ca-ES"/>
        </w:rPr>
        <w:t>compravenda</w:t>
      </w:r>
      <w:r>
        <w:rPr>
          <w:rFonts w:ascii="Arial" w:hAnsi="Arial" w:cs="Arial"/>
          <w:sz w:val="22"/>
          <w:lang w:val="ca-ES"/>
        </w:rPr>
        <w:t xml:space="preserve"> que tingui com a causa la impossibilitat de retornar el préstec hipotecari.</w:t>
      </w:r>
    </w:p>
    <w:p w:rsidR="0023088E" w:rsidRDefault="0023088E" w:rsidP="00A304B9">
      <w:pPr>
        <w:pStyle w:val="NormalWeb"/>
        <w:spacing w:after="200"/>
        <w:jc w:val="both"/>
        <w:rPr>
          <w:rFonts w:ascii="Arial" w:hAnsi="Arial" w:cs="Arial"/>
          <w:sz w:val="22"/>
          <w:lang w:val="ca-ES"/>
        </w:rPr>
      </w:pPr>
      <w:r>
        <w:rPr>
          <w:rFonts w:ascii="Arial" w:hAnsi="Arial" w:cs="Arial"/>
          <w:sz w:val="22"/>
          <w:lang w:val="ca-ES"/>
        </w:rPr>
        <w:t>- Que no formular la proposta obligatòria de lloguer social</w:t>
      </w:r>
      <w:r w:rsidR="00DA362C">
        <w:rPr>
          <w:rFonts w:ascii="Arial" w:hAnsi="Arial" w:cs="Arial"/>
          <w:sz w:val="22"/>
          <w:lang w:val="ca-ES"/>
        </w:rPr>
        <w:t>,</w:t>
      </w:r>
      <w:r>
        <w:rPr>
          <w:rFonts w:ascii="Arial" w:hAnsi="Arial" w:cs="Arial"/>
          <w:sz w:val="22"/>
          <w:lang w:val="ca-ES"/>
        </w:rPr>
        <w:t xml:space="preserve"> en els supòsits de l’article 5</w:t>
      </w:r>
      <w:r w:rsidR="009A341F">
        <w:rPr>
          <w:rFonts w:ascii="Arial" w:hAnsi="Arial" w:cs="Arial"/>
          <w:sz w:val="22"/>
          <w:lang w:val="ca-ES"/>
        </w:rPr>
        <w:t xml:space="preserve"> de la llei de referencia</w:t>
      </w:r>
      <w:r w:rsidR="00DA362C">
        <w:rPr>
          <w:rFonts w:ascii="Arial" w:hAnsi="Arial" w:cs="Arial"/>
          <w:sz w:val="22"/>
          <w:lang w:val="ca-ES"/>
        </w:rPr>
        <w:t>,</w:t>
      </w:r>
      <w:r>
        <w:rPr>
          <w:rFonts w:ascii="Arial" w:hAnsi="Arial" w:cs="Arial"/>
          <w:sz w:val="22"/>
          <w:lang w:val="ca-ES"/>
        </w:rPr>
        <w:t xml:space="preserve"> o incomplir en la formulació de la proposta el requisits establerts en la definició del </w:t>
      </w:r>
      <w:r w:rsidR="009A341F">
        <w:rPr>
          <w:rFonts w:ascii="Arial" w:hAnsi="Arial" w:cs="Arial"/>
          <w:sz w:val="22"/>
          <w:lang w:val="ca-ES"/>
        </w:rPr>
        <w:t>l’article 5.7</w:t>
      </w:r>
      <w:r>
        <w:rPr>
          <w:rFonts w:ascii="Arial" w:hAnsi="Arial" w:cs="Arial"/>
          <w:sz w:val="22"/>
          <w:lang w:val="ca-ES"/>
        </w:rPr>
        <w:t xml:space="preserve"> esta tipificat com a infracció greu</w:t>
      </w:r>
      <w:r w:rsidR="009A341F">
        <w:rPr>
          <w:rFonts w:ascii="Arial" w:hAnsi="Arial" w:cs="Arial"/>
          <w:sz w:val="22"/>
          <w:lang w:val="ca-ES"/>
        </w:rPr>
        <w:t xml:space="preserve"> </w:t>
      </w:r>
      <w:r w:rsidR="00DA362C">
        <w:rPr>
          <w:rFonts w:ascii="Arial" w:hAnsi="Arial" w:cs="Arial"/>
          <w:sz w:val="22"/>
          <w:lang w:val="ca-ES"/>
        </w:rPr>
        <w:t xml:space="preserve">en matèria de qualitat del parc immobiliari per la </w:t>
      </w:r>
      <w:r w:rsidR="004D7569">
        <w:rPr>
          <w:rFonts w:ascii="Arial" w:hAnsi="Arial" w:cs="Arial"/>
          <w:sz w:val="22"/>
          <w:lang w:val="ca-ES"/>
        </w:rPr>
        <w:t>L</w:t>
      </w:r>
      <w:r w:rsidR="00DA362C">
        <w:rPr>
          <w:rFonts w:ascii="Arial" w:hAnsi="Arial" w:cs="Arial"/>
          <w:sz w:val="22"/>
          <w:lang w:val="ca-ES"/>
        </w:rPr>
        <w:t>lei 18</w:t>
      </w:r>
      <w:r w:rsidR="004D7569">
        <w:rPr>
          <w:rFonts w:ascii="Arial" w:hAnsi="Arial" w:cs="Arial"/>
          <w:sz w:val="22"/>
          <w:lang w:val="ca-ES"/>
        </w:rPr>
        <w:t>/</w:t>
      </w:r>
      <w:r w:rsidR="00DA362C">
        <w:rPr>
          <w:rFonts w:ascii="Arial" w:hAnsi="Arial" w:cs="Arial"/>
          <w:sz w:val="22"/>
          <w:lang w:val="ca-ES"/>
        </w:rPr>
        <w:t>2007</w:t>
      </w:r>
      <w:r w:rsidR="00F5366E">
        <w:rPr>
          <w:rFonts w:ascii="Arial" w:hAnsi="Arial" w:cs="Arial"/>
          <w:sz w:val="22"/>
          <w:lang w:val="ca-ES"/>
        </w:rPr>
        <w:t>, de 28 de desembre,</w:t>
      </w:r>
      <w:r w:rsidR="00DA362C">
        <w:rPr>
          <w:rFonts w:ascii="Arial" w:hAnsi="Arial" w:cs="Arial"/>
          <w:sz w:val="22"/>
          <w:lang w:val="ca-ES"/>
        </w:rPr>
        <w:t xml:space="preserve"> pel </w:t>
      </w:r>
      <w:r w:rsidR="004D7569">
        <w:rPr>
          <w:rFonts w:ascii="Arial" w:hAnsi="Arial" w:cs="Arial"/>
          <w:sz w:val="22"/>
          <w:lang w:val="ca-ES"/>
        </w:rPr>
        <w:t>D</w:t>
      </w:r>
      <w:r w:rsidR="00DA362C">
        <w:rPr>
          <w:rFonts w:ascii="Arial" w:hAnsi="Arial" w:cs="Arial"/>
          <w:sz w:val="22"/>
          <w:lang w:val="ca-ES"/>
        </w:rPr>
        <w:t xml:space="preserve">ret l’habitatge de Catalunya. La qual serà sancionada amb </w:t>
      </w:r>
      <w:r w:rsidR="009A341F">
        <w:rPr>
          <w:rFonts w:ascii="Arial" w:hAnsi="Arial" w:cs="Arial"/>
          <w:sz w:val="22"/>
          <w:lang w:val="ca-ES"/>
        </w:rPr>
        <w:t xml:space="preserve"> multes</w:t>
      </w:r>
      <w:r w:rsidR="00DA362C">
        <w:rPr>
          <w:rFonts w:ascii="Arial" w:hAnsi="Arial" w:cs="Arial"/>
          <w:sz w:val="22"/>
          <w:lang w:val="ca-ES"/>
        </w:rPr>
        <w:t xml:space="preserve"> de</w:t>
      </w:r>
      <w:r w:rsidR="009A341F">
        <w:rPr>
          <w:rFonts w:ascii="Arial" w:hAnsi="Arial" w:cs="Arial"/>
          <w:sz w:val="22"/>
          <w:lang w:val="ca-ES"/>
        </w:rPr>
        <w:t xml:space="preserve"> fins a 90.000 euros</w:t>
      </w:r>
      <w:r w:rsidR="00F5366E">
        <w:rPr>
          <w:rFonts w:ascii="Arial" w:hAnsi="Arial" w:cs="Arial"/>
          <w:sz w:val="22"/>
          <w:lang w:val="ca-ES"/>
        </w:rPr>
        <w:t>.</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xml:space="preserve">Finalment, EXPOSEN: </w:t>
      </w:r>
    </w:p>
    <w:p w:rsidR="009A341F" w:rsidRDefault="009A341F" w:rsidP="009A341F">
      <w:pPr>
        <w:pStyle w:val="NormalWeb"/>
        <w:spacing w:after="200"/>
        <w:jc w:val="both"/>
        <w:rPr>
          <w:rFonts w:ascii="Arial" w:hAnsi="Arial" w:cs="Arial"/>
          <w:sz w:val="22"/>
          <w:lang w:val="ca-ES"/>
        </w:rPr>
      </w:pPr>
      <w:r>
        <w:rPr>
          <w:rFonts w:ascii="Arial" w:hAnsi="Arial" w:cs="Arial"/>
          <w:sz w:val="22"/>
          <w:lang w:val="ca-ES"/>
        </w:rPr>
        <w:t xml:space="preserve">- Que han sol·licitat al jutjat la suspensió immediata del procediment en curs donat que la seva entitat no ha complert amb </w:t>
      </w:r>
      <w:r w:rsidR="00F5366E">
        <w:rPr>
          <w:rFonts w:ascii="Arial" w:hAnsi="Arial" w:cs="Arial"/>
          <w:sz w:val="22"/>
          <w:lang w:val="ca-ES"/>
        </w:rPr>
        <w:t>l’obligació</w:t>
      </w:r>
      <w:r>
        <w:rPr>
          <w:rFonts w:ascii="Arial" w:hAnsi="Arial" w:cs="Arial"/>
          <w:sz w:val="22"/>
          <w:lang w:val="ca-ES"/>
        </w:rPr>
        <w:t xml:space="preserve"> d’oferir lloguer social en els termes legalment establerts.</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Que, com conseqüència de lo anterior, te l’obligació de fer oferta de lloguer social e</w:t>
      </w:r>
      <w:r w:rsidR="00F5366E">
        <w:rPr>
          <w:rFonts w:ascii="Arial" w:hAnsi="Arial" w:cs="Arial"/>
          <w:sz w:val="22"/>
          <w:lang w:val="ca-ES"/>
        </w:rPr>
        <w:t>n els termes establerts per la L</w:t>
      </w:r>
      <w:r>
        <w:rPr>
          <w:rFonts w:ascii="Arial" w:hAnsi="Arial" w:cs="Arial"/>
          <w:sz w:val="22"/>
          <w:lang w:val="ca-ES"/>
        </w:rPr>
        <w:t>lei 24/2015, del 29 de juliol</w:t>
      </w:r>
      <w:r w:rsidR="00F5366E">
        <w:rPr>
          <w:rFonts w:ascii="Arial" w:hAnsi="Arial" w:cs="Arial"/>
          <w:sz w:val="22"/>
          <w:lang w:val="ca-ES"/>
        </w:rPr>
        <w:t xml:space="preserve">, de mesures urgents per afrontar l’emergència en l’àmbit de l’habitatge i pobresa energètica. </w:t>
      </w:r>
    </w:p>
    <w:p w:rsidR="0021219C" w:rsidRDefault="009A341F" w:rsidP="00A304B9">
      <w:pPr>
        <w:pStyle w:val="NormalWeb"/>
        <w:spacing w:after="200"/>
        <w:jc w:val="both"/>
        <w:rPr>
          <w:rFonts w:ascii="Arial" w:hAnsi="Arial" w:cs="Arial"/>
          <w:sz w:val="22"/>
          <w:lang w:val="ca-ES"/>
        </w:rPr>
      </w:pPr>
      <w:r>
        <w:rPr>
          <w:rFonts w:ascii="Arial" w:hAnsi="Arial" w:cs="Arial"/>
          <w:sz w:val="22"/>
          <w:lang w:val="ca-ES"/>
        </w:rPr>
        <w:t xml:space="preserve">Atentament, </w:t>
      </w:r>
    </w:p>
    <w:p w:rsidR="00F5366E" w:rsidRDefault="00F5366E" w:rsidP="00A304B9">
      <w:pPr>
        <w:pStyle w:val="NormalWeb"/>
        <w:spacing w:after="200"/>
        <w:jc w:val="both"/>
        <w:rPr>
          <w:rFonts w:ascii="Arial" w:hAnsi="Arial" w:cs="Arial"/>
          <w:color w:val="00B050"/>
          <w:sz w:val="22"/>
          <w:lang w:val="ca-ES"/>
        </w:rPr>
      </w:pPr>
    </w:p>
    <w:p w:rsidR="0021219C" w:rsidRDefault="009A341F" w:rsidP="00A304B9">
      <w:pPr>
        <w:pStyle w:val="NormalWeb"/>
        <w:spacing w:after="200"/>
        <w:jc w:val="both"/>
        <w:rPr>
          <w:rFonts w:ascii="Arial" w:hAnsi="Arial" w:cs="Arial"/>
          <w:color w:val="00B050"/>
          <w:sz w:val="22"/>
          <w:lang w:val="ca-ES"/>
        </w:rPr>
      </w:pPr>
      <w:r>
        <w:rPr>
          <w:rFonts w:ascii="Arial" w:hAnsi="Arial" w:cs="Arial"/>
          <w:color w:val="00B050"/>
          <w:sz w:val="22"/>
          <w:lang w:val="ca-ES"/>
        </w:rPr>
        <w:t xml:space="preserve">firmes </w:t>
      </w:r>
    </w:p>
    <w:p w:rsidR="0021219C" w:rsidRDefault="009A341F">
      <w:pPr>
        <w:jc w:val="both"/>
      </w:pPr>
      <w:r>
        <w:rPr>
          <w:rFonts w:ascii="Arial" w:hAnsi="Arial" w:cs="Arial"/>
          <w:color w:val="00B050"/>
        </w:rPr>
        <w:t>Nom hipotecat/da</w:t>
      </w:r>
      <w:r>
        <w:rPr>
          <w:rFonts w:ascii="Arial" w:hAnsi="Arial" w:cs="Arial"/>
        </w:rPr>
        <w:t xml:space="preserve"> </w:t>
      </w:r>
      <w:r>
        <w:rPr>
          <w:rFonts w:ascii="Arial" w:hAnsi="Arial" w:cs="Arial"/>
          <w:color w:val="00B050"/>
        </w:rPr>
        <w:t xml:space="preserve">1 </w:t>
      </w:r>
      <w:r>
        <w:rPr>
          <w:rFonts w:ascii="Arial" w:hAnsi="Arial" w:cs="Arial"/>
        </w:rPr>
        <w:t>i</w:t>
      </w:r>
      <w:r>
        <w:rPr>
          <w:rFonts w:ascii="Arial" w:hAnsi="Arial" w:cs="Arial"/>
          <w:color w:val="00B050"/>
        </w:rPr>
        <w:t xml:space="preserve"> Nom hipotecat/da</w:t>
      </w:r>
      <w:r>
        <w:rPr>
          <w:rFonts w:ascii="Arial" w:hAnsi="Arial" w:cs="Arial"/>
        </w:rPr>
        <w:t xml:space="preserve"> </w:t>
      </w:r>
      <w:r>
        <w:rPr>
          <w:rFonts w:ascii="Arial" w:hAnsi="Arial" w:cs="Arial"/>
          <w:color w:val="00B050"/>
        </w:rPr>
        <w:t>2</w:t>
      </w:r>
      <w:bookmarkStart w:id="0" w:name="_GoBack"/>
      <w:bookmarkEnd w:id="0"/>
    </w:p>
    <w:sectPr w:rsidR="0021219C">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WenQuanYi Zen Hei Sharp">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9C"/>
    <w:rsid w:val="0021219C"/>
    <w:rsid w:val="0023088E"/>
    <w:rsid w:val="003820DE"/>
    <w:rsid w:val="004D7569"/>
    <w:rsid w:val="0091439D"/>
    <w:rsid w:val="0099125C"/>
    <w:rsid w:val="009A341F"/>
    <w:rsid w:val="009E154C"/>
    <w:rsid w:val="00A304B9"/>
    <w:rsid w:val="00A442DE"/>
    <w:rsid w:val="00D16F81"/>
    <w:rsid w:val="00DA362C"/>
    <w:rsid w:val="00DE5E80"/>
    <w:rsid w:val="00F53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C9"/>
    <w:pPr>
      <w:suppressAutoHyphens/>
      <w:spacing w:after="200"/>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D558C"/>
    <w:rPr>
      <w:sz w:val="16"/>
      <w:szCs w:val="16"/>
    </w:rPr>
  </w:style>
  <w:style w:type="character" w:customStyle="1" w:styleId="TextocomentarioCar">
    <w:name w:val="Texto comentario Car"/>
    <w:basedOn w:val="Fuentedeprrafopredeter"/>
    <w:link w:val="Textocomentario"/>
    <w:uiPriority w:val="99"/>
    <w:semiHidden/>
    <w:rsid w:val="004D558C"/>
    <w:rPr>
      <w:sz w:val="20"/>
      <w:szCs w:val="20"/>
      <w:lang w:val="ca-ES"/>
    </w:rPr>
  </w:style>
  <w:style w:type="character" w:customStyle="1" w:styleId="AsuntodelcomentarioCar">
    <w:name w:val="Asunto del comentario Car"/>
    <w:basedOn w:val="TextocomentarioCar"/>
    <w:link w:val="Asuntodelcomentario"/>
    <w:uiPriority w:val="99"/>
    <w:semiHidden/>
    <w:rsid w:val="004D558C"/>
    <w:rPr>
      <w:b/>
      <w:bCs/>
      <w:sz w:val="20"/>
      <w:szCs w:val="20"/>
      <w:lang w:val="ca-ES"/>
    </w:rPr>
  </w:style>
  <w:style w:type="character" w:customStyle="1" w:styleId="TextodegloboCar">
    <w:name w:val="Texto de globo Car"/>
    <w:basedOn w:val="Fuentedeprrafopredeter"/>
    <w:link w:val="Textodeglobo"/>
    <w:uiPriority w:val="99"/>
    <w:semiHidden/>
    <w:rsid w:val="004D558C"/>
    <w:rPr>
      <w:rFonts w:ascii="Tahoma" w:hAnsi="Tahoma" w:cs="Tahoma"/>
      <w:sz w:val="16"/>
      <w:szCs w:val="16"/>
      <w:lang w:val="ca-ES"/>
    </w:rPr>
  </w:style>
  <w:style w:type="paragraph" w:customStyle="1" w:styleId="Encapalament">
    <w:name w:val="Encapçalament"/>
    <w:basedOn w:val="Normal"/>
    <w:next w:val="Cosdeltext"/>
    <w:pPr>
      <w:keepNext/>
      <w:spacing w:before="240" w:after="120"/>
    </w:pPr>
    <w:rPr>
      <w:rFonts w:ascii="Liberation Sans" w:hAnsi="Liberation Sans" w:cs="FreeSans"/>
      <w:sz w:val="28"/>
      <w:szCs w:val="28"/>
    </w:rPr>
  </w:style>
  <w:style w:type="paragraph" w:customStyle="1" w:styleId="Cosdeltext">
    <w:name w:val="Cos del text"/>
    <w:basedOn w:val="Normal"/>
    <w:pPr>
      <w:spacing w:after="140" w:line="288" w:lineRule="auto"/>
    </w:pPr>
  </w:style>
  <w:style w:type="paragraph" w:customStyle="1" w:styleId="Llista">
    <w:name w:val="Llista"/>
    <w:basedOn w:val="Cosdeltext"/>
    <w:rPr>
      <w:rFonts w:cs="FreeSans"/>
    </w:rPr>
  </w:style>
  <w:style w:type="paragraph" w:customStyle="1" w:styleId="Llegenda">
    <w:name w:val="Llegenda"/>
    <w:basedOn w:val="Normal"/>
    <w:pPr>
      <w:suppressLineNumbers/>
      <w:spacing w:before="120" w:after="120"/>
    </w:pPr>
    <w:rPr>
      <w:rFonts w:cs="FreeSans"/>
      <w:i/>
      <w:iCs/>
      <w:sz w:val="24"/>
      <w:szCs w:val="24"/>
    </w:rPr>
  </w:style>
  <w:style w:type="paragraph" w:customStyle="1" w:styleId="ndex">
    <w:name w:val="Índex"/>
    <w:basedOn w:val="Normal"/>
    <w:pPr>
      <w:suppressLineNumbers/>
    </w:pPr>
    <w:rPr>
      <w:rFonts w:cs="FreeSans"/>
    </w:rPr>
  </w:style>
  <w:style w:type="paragraph" w:styleId="NormalWeb">
    <w:name w:val="Normal (Web)"/>
    <w:basedOn w:val="Normal"/>
    <w:uiPriority w:val="99"/>
    <w:semiHidden/>
    <w:unhideWhenUsed/>
    <w:rsid w:val="00566BEE"/>
    <w:pPr>
      <w:spacing w:after="280"/>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4D558C"/>
    <w:pPr>
      <w:spacing w:line="240" w:lineRule="auto"/>
    </w:pPr>
    <w:rPr>
      <w:sz w:val="20"/>
      <w:szCs w:val="20"/>
    </w:rPr>
  </w:style>
  <w:style w:type="paragraph" w:styleId="Asuntodelcomentario">
    <w:name w:val="annotation subject"/>
    <w:basedOn w:val="Textocomentario"/>
    <w:link w:val="AsuntodelcomentarioCar"/>
    <w:uiPriority w:val="99"/>
    <w:semiHidden/>
    <w:unhideWhenUsed/>
    <w:rsid w:val="004D558C"/>
    <w:rPr>
      <w:b/>
      <w:bCs/>
    </w:rPr>
  </w:style>
  <w:style w:type="paragraph" w:styleId="Textodeglobo">
    <w:name w:val="Balloon Text"/>
    <w:basedOn w:val="Normal"/>
    <w:link w:val="TextodegloboCar"/>
    <w:uiPriority w:val="99"/>
    <w:semiHidden/>
    <w:unhideWhenUsed/>
    <w:rsid w:val="004D558C"/>
    <w:pPr>
      <w:spacing w:after="0" w:line="240" w:lineRule="auto"/>
    </w:pPr>
    <w:rPr>
      <w:rFonts w:ascii="Tahoma" w:hAnsi="Tahoma" w:cs="Tahoma"/>
      <w:sz w:val="16"/>
      <w:szCs w:val="16"/>
    </w:rPr>
  </w:style>
  <w:style w:type="paragraph" w:customStyle="1" w:styleId="NNormal">
    <w:name w:val="N/ Normal"/>
    <w:pPr>
      <w:suppressAutoHyphens/>
      <w:spacing w:before="120" w:line="320" w:lineRule="atLeast"/>
      <w:jc w:val="both"/>
    </w:pPr>
    <w:rPr>
      <w:rFonts w:ascii="Lucida Sans" w:eastAsia="WenQuanYi Zen Hei Sharp" w:hAnsi="Lucida Sans" w:cs="Lohit Devanagari"/>
      <w:szCs w:val="24"/>
      <w:lang w:val="ca-E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C9"/>
    <w:pPr>
      <w:suppressAutoHyphens/>
      <w:spacing w:after="200"/>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D558C"/>
    <w:rPr>
      <w:sz w:val="16"/>
      <w:szCs w:val="16"/>
    </w:rPr>
  </w:style>
  <w:style w:type="character" w:customStyle="1" w:styleId="TextocomentarioCar">
    <w:name w:val="Texto comentario Car"/>
    <w:basedOn w:val="Fuentedeprrafopredeter"/>
    <w:link w:val="Textocomentario"/>
    <w:uiPriority w:val="99"/>
    <w:semiHidden/>
    <w:rsid w:val="004D558C"/>
    <w:rPr>
      <w:sz w:val="20"/>
      <w:szCs w:val="20"/>
      <w:lang w:val="ca-ES"/>
    </w:rPr>
  </w:style>
  <w:style w:type="character" w:customStyle="1" w:styleId="AsuntodelcomentarioCar">
    <w:name w:val="Asunto del comentario Car"/>
    <w:basedOn w:val="TextocomentarioCar"/>
    <w:link w:val="Asuntodelcomentario"/>
    <w:uiPriority w:val="99"/>
    <w:semiHidden/>
    <w:rsid w:val="004D558C"/>
    <w:rPr>
      <w:b/>
      <w:bCs/>
      <w:sz w:val="20"/>
      <w:szCs w:val="20"/>
      <w:lang w:val="ca-ES"/>
    </w:rPr>
  </w:style>
  <w:style w:type="character" w:customStyle="1" w:styleId="TextodegloboCar">
    <w:name w:val="Texto de globo Car"/>
    <w:basedOn w:val="Fuentedeprrafopredeter"/>
    <w:link w:val="Textodeglobo"/>
    <w:uiPriority w:val="99"/>
    <w:semiHidden/>
    <w:rsid w:val="004D558C"/>
    <w:rPr>
      <w:rFonts w:ascii="Tahoma" w:hAnsi="Tahoma" w:cs="Tahoma"/>
      <w:sz w:val="16"/>
      <w:szCs w:val="16"/>
      <w:lang w:val="ca-ES"/>
    </w:rPr>
  </w:style>
  <w:style w:type="paragraph" w:customStyle="1" w:styleId="Encapalament">
    <w:name w:val="Encapçalament"/>
    <w:basedOn w:val="Normal"/>
    <w:next w:val="Cosdeltext"/>
    <w:pPr>
      <w:keepNext/>
      <w:spacing w:before="240" w:after="120"/>
    </w:pPr>
    <w:rPr>
      <w:rFonts w:ascii="Liberation Sans" w:hAnsi="Liberation Sans" w:cs="FreeSans"/>
      <w:sz w:val="28"/>
      <w:szCs w:val="28"/>
    </w:rPr>
  </w:style>
  <w:style w:type="paragraph" w:customStyle="1" w:styleId="Cosdeltext">
    <w:name w:val="Cos del text"/>
    <w:basedOn w:val="Normal"/>
    <w:pPr>
      <w:spacing w:after="140" w:line="288" w:lineRule="auto"/>
    </w:pPr>
  </w:style>
  <w:style w:type="paragraph" w:customStyle="1" w:styleId="Llista">
    <w:name w:val="Llista"/>
    <w:basedOn w:val="Cosdeltext"/>
    <w:rPr>
      <w:rFonts w:cs="FreeSans"/>
    </w:rPr>
  </w:style>
  <w:style w:type="paragraph" w:customStyle="1" w:styleId="Llegenda">
    <w:name w:val="Llegenda"/>
    <w:basedOn w:val="Normal"/>
    <w:pPr>
      <w:suppressLineNumbers/>
      <w:spacing w:before="120" w:after="120"/>
    </w:pPr>
    <w:rPr>
      <w:rFonts w:cs="FreeSans"/>
      <w:i/>
      <w:iCs/>
      <w:sz w:val="24"/>
      <w:szCs w:val="24"/>
    </w:rPr>
  </w:style>
  <w:style w:type="paragraph" w:customStyle="1" w:styleId="ndex">
    <w:name w:val="Índex"/>
    <w:basedOn w:val="Normal"/>
    <w:pPr>
      <w:suppressLineNumbers/>
    </w:pPr>
    <w:rPr>
      <w:rFonts w:cs="FreeSans"/>
    </w:rPr>
  </w:style>
  <w:style w:type="paragraph" w:styleId="NormalWeb">
    <w:name w:val="Normal (Web)"/>
    <w:basedOn w:val="Normal"/>
    <w:uiPriority w:val="99"/>
    <w:semiHidden/>
    <w:unhideWhenUsed/>
    <w:rsid w:val="00566BEE"/>
    <w:pPr>
      <w:spacing w:after="280"/>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4D558C"/>
    <w:pPr>
      <w:spacing w:line="240" w:lineRule="auto"/>
    </w:pPr>
    <w:rPr>
      <w:sz w:val="20"/>
      <w:szCs w:val="20"/>
    </w:rPr>
  </w:style>
  <w:style w:type="paragraph" w:styleId="Asuntodelcomentario">
    <w:name w:val="annotation subject"/>
    <w:basedOn w:val="Textocomentario"/>
    <w:link w:val="AsuntodelcomentarioCar"/>
    <w:uiPriority w:val="99"/>
    <w:semiHidden/>
    <w:unhideWhenUsed/>
    <w:rsid w:val="004D558C"/>
    <w:rPr>
      <w:b/>
      <w:bCs/>
    </w:rPr>
  </w:style>
  <w:style w:type="paragraph" w:styleId="Textodeglobo">
    <w:name w:val="Balloon Text"/>
    <w:basedOn w:val="Normal"/>
    <w:link w:val="TextodegloboCar"/>
    <w:uiPriority w:val="99"/>
    <w:semiHidden/>
    <w:unhideWhenUsed/>
    <w:rsid w:val="004D558C"/>
    <w:pPr>
      <w:spacing w:after="0" w:line="240" w:lineRule="auto"/>
    </w:pPr>
    <w:rPr>
      <w:rFonts w:ascii="Tahoma" w:hAnsi="Tahoma" w:cs="Tahoma"/>
      <w:sz w:val="16"/>
      <w:szCs w:val="16"/>
    </w:rPr>
  </w:style>
  <w:style w:type="paragraph" w:customStyle="1" w:styleId="NNormal">
    <w:name w:val="N/ Normal"/>
    <w:pPr>
      <w:suppressAutoHyphens/>
      <w:spacing w:before="120" w:line="320" w:lineRule="atLeast"/>
      <w:jc w:val="both"/>
    </w:pPr>
    <w:rPr>
      <w:rFonts w:ascii="Lucida Sans" w:eastAsia="WenQuanYi Zen Hei Sharp" w:hAnsi="Lucida Sans" w:cs="Lohit Devanagari"/>
      <w:szCs w:val="24"/>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0F4E-B424-456A-B153-C82AF950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4038</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 Pc</cp:lastModifiedBy>
  <cp:revision>3</cp:revision>
  <dcterms:created xsi:type="dcterms:W3CDTF">2015-09-06T11:25:00Z</dcterms:created>
  <dcterms:modified xsi:type="dcterms:W3CDTF">2015-09-06T18:49:00Z</dcterms:modified>
  <dc:language>ca-ES</dc:language>
</cp:coreProperties>
</file>