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AAA" w:rsidRDefault="005E63AD">
      <w:pPr>
        <w:pStyle w:val="NormalWeb"/>
        <w:jc w:val="both"/>
        <w:rPr>
          <w:rFonts w:ascii="Arial" w:hAnsi="Arial" w:cs="Arial"/>
          <w:b/>
          <w:sz w:val="22"/>
          <w:lang w:val="ca-ES"/>
        </w:rPr>
      </w:pPr>
      <w:r>
        <w:rPr>
          <w:rFonts w:ascii="Arial" w:hAnsi="Arial" w:cs="Arial"/>
          <w:b/>
          <w:sz w:val="22"/>
          <w:lang w:val="ca-ES"/>
        </w:rPr>
        <w:t>A l’Ajuntament de</w:t>
      </w:r>
      <w:r>
        <w:rPr>
          <w:rFonts w:ascii="Arial" w:hAnsi="Arial" w:cs="Arial"/>
          <w:b/>
          <w:color w:val="00B050"/>
          <w:sz w:val="22"/>
          <w:lang w:val="ca-ES"/>
        </w:rPr>
        <w:t xml:space="preserve"> XXXX</w:t>
      </w:r>
      <w:r>
        <w:rPr>
          <w:rFonts w:ascii="Arial" w:hAnsi="Arial" w:cs="Arial"/>
          <w:b/>
          <w:sz w:val="22"/>
          <w:lang w:val="ca-ES"/>
        </w:rPr>
        <w:t xml:space="preserve"> </w:t>
      </w:r>
    </w:p>
    <w:p w:rsidR="00994AAA" w:rsidRDefault="005E63AD">
      <w:pPr>
        <w:pStyle w:val="NormalWeb"/>
        <w:jc w:val="both"/>
        <w:rPr>
          <w:rFonts w:ascii="Arial" w:hAnsi="Arial" w:cs="Arial"/>
          <w:sz w:val="22"/>
          <w:lang w:val="ca-ES"/>
        </w:rPr>
      </w:pPr>
      <w:r>
        <w:rPr>
          <w:rFonts w:ascii="Arial" w:hAnsi="Arial" w:cs="Arial"/>
          <w:color w:val="00B050"/>
          <w:sz w:val="22"/>
          <w:lang w:val="ca-ES"/>
        </w:rPr>
        <w:t>Nom llogater</w:t>
      </w:r>
      <w:r>
        <w:rPr>
          <w:rFonts w:ascii="Arial" w:hAnsi="Arial" w:cs="Arial"/>
          <w:sz w:val="22"/>
          <w:lang w:val="ca-ES"/>
        </w:rPr>
        <w:t xml:space="preserve">, major d’edat, amb domicili a efectes de notificacions al carrer </w:t>
      </w:r>
      <w:r>
        <w:rPr>
          <w:rFonts w:ascii="Arial" w:hAnsi="Arial" w:cs="Arial"/>
          <w:color w:val="00B050"/>
          <w:sz w:val="22"/>
          <w:lang w:val="ca-ES"/>
        </w:rPr>
        <w:t>XXXX</w:t>
      </w:r>
      <w:r>
        <w:rPr>
          <w:rFonts w:ascii="Arial" w:hAnsi="Arial" w:cs="Arial"/>
          <w:sz w:val="22"/>
          <w:lang w:val="ca-ES"/>
        </w:rPr>
        <w:t xml:space="preserve"> núm. </w:t>
      </w:r>
      <w:r>
        <w:rPr>
          <w:rFonts w:ascii="Arial" w:hAnsi="Arial" w:cs="Arial"/>
          <w:color w:val="00B050"/>
          <w:sz w:val="22"/>
          <w:lang w:val="ca-ES"/>
        </w:rPr>
        <w:t>XX</w:t>
      </w:r>
      <w:r>
        <w:rPr>
          <w:rFonts w:ascii="Arial" w:hAnsi="Arial" w:cs="Arial"/>
          <w:sz w:val="22"/>
          <w:lang w:val="ca-ES"/>
        </w:rPr>
        <w:t xml:space="preserve">, pis </w:t>
      </w:r>
      <w:r>
        <w:rPr>
          <w:rFonts w:ascii="Arial" w:hAnsi="Arial" w:cs="Arial"/>
          <w:color w:val="00B050"/>
          <w:sz w:val="22"/>
          <w:lang w:val="ca-ES"/>
        </w:rPr>
        <w:t>XX</w:t>
      </w:r>
      <w:r>
        <w:rPr>
          <w:rFonts w:ascii="Arial" w:hAnsi="Arial" w:cs="Arial"/>
          <w:sz w:val="22"/>
          <w:lang w:val="ca-ES"/>
        </w:rPr>
        <w:t xml:space="preserve"> de </w:t>
      </w:r>
      <w:r>
        <w:rPr>
          <w:rFonts w:ascii="Arial" w:hAnsi="Arial" w:cs="Arial"/>
          <w:color w:val="00B050"/>
          <w:sz w:val="22"/>
          <w:lang w:val="ca-ES"/>
        </w:rPr>
        <w:t>localitat</w:t>
      </w:r>
      <w:r>
        <w:rPr>
          <w:rFonts w:ascii="Arial" w:hAnsi="Arial" w:cs="Arial"/>
          <w:sz w:val="22"/>
          <w:lang w:val="ca-ES"/>
        </w:rPr>
        <w:t xml:space="preserve">, amb D.N.I/N.I.E. </w:t>
      </w:r>
      <w:r>
        <w:rPr>
          <w:rFonts w:ascii="Arial" w:hAnsi="Arial" w:cs="Arial"/>
          <w:color w:val="00B050"/>
          <w:sz w:val="22"/>
          <w:lang w:val="ca-ES"/>
        </w:rPr>
        <w:t>XXXXXXX</w:t>
      </w:r>
      <w:r>
        <w:rPr>
          <w:rFonts w:ascii="Arial" w:hAnsi="Arial" w:cs="Arial"/>
          <w:sz w:val="22"/>
          <w:lang w:val="ca-ES"/>
        </w:rPr>
        <w:t xml:space="preserve">, compareix davant aquest servei, de la millor manera, i procedeix a  </w:t>
      </w:r>
    </w:p>
    <w:p w:rsidR="00994AAA" w:rsidRDefault="005E63AD">
      <w:pPr>
        <w:pStyle w:val="NormalWeb"/>
        <w:jc w:val="both"/>
        <w:rPr>
          <w:rFonts w:ascii="Arial" w:hAnsi="Arial" w:cs="Arial"/>
          <w:b/>
          <w:sz w:val="22"/>
          <w:lang w:val="ca-ES"/>
        </w:rPr>
      </w:pPr>
      <w:r>
        <w:rPr>
          <w:rFonts w:ascii="Arial" w:hAnsi="Arial" w:cs="Arial"/>
          <w:b/>
          <w:sz w:val="22"/>
          <w:lang w:val="ca-ES"/>
        </w:rPr>
        <w:t xml:space="preserve">DECLARAR: </w:t>
      </w:r>
    </w:p>
    <w:p w:rsidR="00994AAA" w:rsidRDefault="005E63AD">
      <w:pPr>
        <w:pStyle w:val="NormalWeb"/>
        <w:jc w:val="both"/>
        <w:rPr>
          <w:rFonts w:ascii="Arial" w:hAnsi="Arial" w:cs="Arial"/>
          <w:sz w:val="22"/>
          <w:lang w:val="ca-ES"/>
        </w:rPr>
      </w:pPr>
      <w:r>
        <w:rPr>
          <w:rFonts w:ascii="Arial" w:hAnsi="Arial" w:cs="Arial"/>
          <w:sz w:val="22"/>
          <w:lang w:val="ca-ES"/>
        </w:rPr>
        <w:t xml:space="preserve">- Que </w:t>
      </w:r>
      <w:r>
        <w:rPr>
          <w:rFonts w:ascii="Arial" w:hAnsi="Arial" w:cs="Arial"/>
          <w:color w:val="00B050"/>
          <w:sz w:val="22"/>
          <w:lang w:val="ca-ES"/>
        </w:rPr>
        <w:t xml:space="preserve">Nom llogater, i la seva família, </w:t>
      </w:r>
      <w:r>
        <w:rPr>
          <w:rFonts w:ascii="Arial" w:hAnsi="Arial" w:cs="Arial"/>
          <w:sz w:val="22"/>
          <w:lang w:val="ca-ES"/>
        </w:rPr>
        <w:t>degut a causes alienes a la seva voluntat, tenen dificultats per a fer front al pagament del lloguer i, en conseqüència, estan en procés de ser desnonats del seu habitatge habitual.</w:t>
      </w:r>
    </w:p>
    <w:p w:rsidR="00FD35FF" w:rsidRPr="00FD35FF" w:rsidRDefault="005E63AD" w:rsidP="00FD35FF">
      <w:pPr>
        <w:pStyle w:val="NormalWeb"/>
        <w:jc w:val="both"/>
        <w:rPr>
          <w:rFonts w:ascii="Arial" w:hAnsi="Arial" w:cs="Arial"/>
          <w:bCs/>
          <w:sz w:val="22"/>
          <w:lang w:val="ca-ES"/>
        </w:rPr>
      </w:pPr>
      <w:r>
        <w:rPr>
          <w:rFonts w:ascii="Arial" w:hAnsi="Arial" w:cs="Arial"/>
          <w:sz w:val="22"/>
          <w:lang w:val="ca-ES"/>
        </w:rPr>
        <w:t xml:space="preserve">- Que en ells concorren les circumstàncies de no tenir alternativa </w:t>
      </w:r>
      <w:proofErr w:type="spellStart"/>
      <w:r>
        <w:rPr>
          <w:rFonts w:ascii="Arial" w:hAnsi="Arial" w:cs="Arial"/>
          <w:sz w:val="22"/>
          <w:lang w:val="ca-ES"/>
        </w:rPr>
        <w:t>habitacional</w:t>
      </w:r>
      <w:proofErr w:type="spellEnd"/>
      <w:r>
        <w:rPr>
          <w:rFonts w:ascii="Arial" w:hAnsi="Arial" w:cs="Arial"/>
          <w:sz w:val="22"/>
          <w:lang w:val="ca-ES"/>
        </w:rPr>
        <w:t xml:space="preserve"> pròpia i estar en situació de risc d’exclusió residencial, d’acord amb el que estableix l’article </w:t>
      </w:r>
      <w:r w:rsidR="00FD35FF">
        <w:rPr>
          <w:rFonts w:ascii="Arial" w:hAnsi="Arial" w:cs="Arial"/>
          <w:sz w:val="22"/>
          <w:lang w:val="ca-ES"/>
        </w:rPr>
        <w:t>5.6 de la llei 24/2015</w:t>
      </w:r>
      <w:r w:rsidRPr="00FD35FF">
        <w:rPr>
          <w:rFonts w:ascii="Arial" w:hAnsi="Arial" w:cs="Arial"/>
          <w:sz w:val="22"/>
          <w:lang w:val="ca-ES"/>
        </w:rPr>
        <w:t>,</w:t>
      </w:r>
      <w:r w:rsidR="00FD35FF" w:rsidRPr="00FD35FF">
        <w:rPr>
          <w:rFonts w:ascii="Arial" w:hAnsi="Arial" w:cs="Arial"/>
          <w:color w:val="000000"/>
          <w:spacing w:val="-15"/>
          <w:kern w:val="36"/>
          <w:sz w:val="27"/>
          <w:szCs w:val="27"/>
          <w:lang w:val="ca-ES" w:eastAsia="ca-ES"/>
        </w:rPr>
        <w:t xml:space="preserve"> </w:t>
      </w:r>
      <w:r w:rsidR="00FD35FF" w:rsidRPr="00FD35FF">
        <w:rPr>
          <w:rFonts w:ascii="Arial" w:hAnsi="Arial" w:cs="Arial"/>
          <w:bCs/>
          <w:sz w:val="22"/>
          <w:lang w:val="ca-ES"/>
        </w:rPr>
        <w:t>del 29 de juliol, de mesures urgents per a afrontar l'emergència en l'àmbit de l'habitatge i la pobresa energètica</w:t>
      </w:r>
      <w:r w:rsidR="00FD35FF">
        <w:rPr>
          <w:rFonts w:ascii="Arial" w:hAnsi="Arial" w:cs="Arial"/>
          <w:bCs/>
          <w:sz w:val="22"/>
          <w:lang w:val="ca-ES"/>
        </w:rPr>
        <w:t>.</w:t>
      </w:r>
    </w:p>
    <w:p w:rsidR="00994AAA" w:rsidRDefault="005E63AD">
      <w:pPr>
        <w:pStyle w:val="NormalWeb"/>
        <w:jc w:val="both"/>
        <w:rPr>
          <w:rFonts w:ascii="Arial" w:hAnsi="Arial" w:cs="Arial"/>
          <w:sz w:val="22"/>
          <w:lang w:val="ca-ES"/>
        </w:rPr>
      </w:pPr>
      <w:r>
        <w:rPr>
          <w:rFonts w:ascii="Arial" w:hAnsi="Arial" w:cs="Arial"/>
          <w:sz w:val="22"/>
          <w:lang w:val="ca-ES"/>
        </w:rPr>
        <w:t xml:space="preserve"> - Que per mitjà del present escrit fa </w:t>
      </w:r>
      <w:r>
        <w:rPr>
          <w:rFonts w:ascii="Arial" w:hAnsi="Arial" w:cs="Arial"/>
          <w:sz w:val="22"/>
          <w:u w:val="single"/>
          <w:lang w:val="ca-ES"/>
        </w:rPr>
        <w:t>sol·licitud</w:t>
      </w:r>
      <w:r>
        <w:rPr>
          <w:rFonts w:ascii="Arial" w:hAnsi="Arial" w:cs="Arial"/>
          <w:sz w:val="22"/>
          <w:lang w:val="ca-ES"/>
        </w:rPr>
        <w:t xml:space="preserve"> a aquest servei de: les </w:t>
      </w:r>
      <w:r>
        <w:rPr>
          <w:rFonts w:ascii="Arial" w:hAnsi="Arial" w:cs="Arial"/>
          <w:sz w:val="22"/>
          <w:u w:val="single"/>
          <w:lang w:val="ca-ES"/>
        </w:rPr>
        <w:t>ajudes pertinents</w:t>
      </w:r>
      <w:r>
        <w:rPr>
          <w:rFonts w:ascii="Arial" w:hAnsi="Arial" w:cs="Arial"/>
          <w:sz w:val="22"/>
          <w:lang w:val="ca-ES"/>
        </w:rPr>
        <w:t xml:space="preserve"> al cas c</w:t>
      </w:r>
      <w:r w:rsidR="00FD35FF">
        <w:rPr>
          <w:rFonts w:ascii="Arial" w:hAnsi="Arial" w:cs="Arial"/>
          <w:sz w:val="22"/>
          <w:lang w:val="ca-ES"/>
        </w:rPr>
        <w:t>oncret que evitin el llançament</w:t>
      </w:r>
      <w:r>
        <w:rPr>
          <w:rFonts w:ascii="Arial" w:hAnsi="Arial" w:cs="Arial"/>
          <w:sz w:val="22"/>
          <w:lang w:val="ca-ES"/>
        </w:rPr>
        <w:t xml:space="preserve"> i/o el </w:t>
      </w:r>
      <w:r>
        <w:rPr>
          <w:rFonts w:ascii="Arial" w:hAnsi="Arial" w:cs="Arial"/>
          <w:sz w:val="22"/>
          <w:u w:val="single"/>
          <w:lang w:val="ca-ES"/>
        </w:rPr>
        <w:t>reallotjament a un habitatge adequat</w:t>
      </w:r>
      <w:r>
        <w:rPr>
          <w:rFonts w:ascii="Arial" w:hAnsi="Arial" w:cs="Arial"/>
          <w:sz w:val="22"/>
          <w:lang w:val="ca-ES"/>
        </w:rPr>
        <w:t xml:space="preserve">. </w:t>
      </w:r>
    </w:p>
    <w:p w:rsidR="00994AAA" w:rsidRDefault="005E63AD">
      <w:pPr>
        <w:pStyle w:val="NormalWeb"/>
        <w:jc w:val="both"/>
        <w:rPr>
          <w:rFonts w:ascii="Arial" w:hAnsi="Arial" w:cs="Arial"/>
          <w:sz w:val="22"/>
          <w:lang w:val="ca-ES"/>
        </w:rPr>
      </w:pPr>
      <w:r>
        <w:rPr>
          <w:rFonts w:ascii="Arial" w:hAnsi="Arial" w:cs="Arial"/>
          <w:b/>
          <w:sz w:val="22"/>
          <w:lang w:val="ca-ES"/>
        </w:rPr>
        <w:t>I EXPOSA</w:t>
      </w:r>
      <w:r>
        <w:rPr>
          <w:rFonts w:ascii="Arial" w:hAnsi="Arial" w:cs="Arial"/>
          <w:sz w:val="22"/>
          <w:lang w:val="ca-ES"/>
        </w:rPr>
        <w:t>:</w:t>
      </w:r>
    </w:p>
    <w:p w:rsidR="00994AAA" w:rsidRDefault="005E63AD">
      <w:pPr>
        <w:pStyle w:val="NormalWeb"/>
        <w:jc w:val="both"/>
        <w:rPr>
          <w:rFonts w:ascii="Arial" w:hAnsi="Arial" w:cs="Arial"/>
          <w:sz w:val="22"/>
          <w:lang w:val="ca-ES"/>
        </w:rPr>
      </w:pPr>
      <w:r>
        <w:rPr>
          <w:rFonts w:ascii="Arial" w:hAnsi="Arial" w:cs="Arial"/>
          <w:sz w:val="22"/>
          <w:lang w:val="ca-ES"/>
        </w:rPr>
        <w:t xml:space="preserve">- Que el 30 de desembre de 2016 va entrar en vigor la Llei 4/2016, del 23 de desembre, de </w:t>
      </w:r>
      <w:r>
        <w:rPr>
          <w:rFonts w:ascii="Arial" w:hAnsi="Arial" w:cs="Arial"/>
          <w:color w:val="000000"/>
          <w:sz w:val="22"/>
          <w:szCs w:val="22"/>
        </w:rPr>
        <w:t xml:space="preserve">de </w:t>
      </w:r>
      <w:r>
        <w:rPr>
          <w:rFonts w:ascii="Arial" w:hAnsi="Arial" w:cs="Arial"/>
          <w:sz w:val="22"/>
          <w:szCs w:val="22"/>
        </w:rPr>
        <w:t xml:space="preserve">mesures de </w:t>
      </w:r>
      <w:r>
        <w:rPr>
          <w:rFonts w:ascii="Arial" w:hAnsi="Arial" w:cs="Arial"/>
          <w:sz w:val="22"/>
          <w:szCs w:val="22"/>
          <w:lang w:val="ca-ES"/>
        </w:rPr>
        <w:t>protecció del dret a l’habitatge de les persones en risc d’exclusió residencial</w:t>
      </w:r>
      <w:r>
        <w:rPr>
          <w:rFonts w:ascii="Arial" w:hAnsi="Arial" w:cs="Arial"/>
          <w:sz w:val="22"/>
          <w:lang w:val="ca-ES"/>
        </w:rPr>
        <w:t xml:space="preserve">, sent per això d'obligada aplicació des d'aquesta mateixa data. </w:t>
      </w:r>
    </w:p>
    <w:p w:rsidR="00994AAA" w:rsidRDefault="005E63AD">
      <w:pPr>
        <w:pStyle w:val="NormalWeb"/>
        <w:jc w:val="both"/>
        <w:rPr>
          <w:rFonts w:ascii="Arial" w:hAnsi="Arial" w:cs="Arial"/>
          <w:sz w:val="22"/>
          <w:szCs w:val="22"/>
          <w:lang w:val="ca-ES"/>
        </w:rPr>
      </w:pPr>
      <w:r>
        <w:rPr>
          <w:rFonts w:ascii="Arial" w:hAnsi="Arial" w:cs="Arial"/>
          <w:sz w:val="22"/>
          <w:lang w:val="ca-ES"/>
        </w:rPr>
        <w:t>- Que les administracions públiques de Catalunya, per tal de protegir a les persones que es troben en risc d’exclusió residencial, poden adoptar diverses fórmules d’actuació, les quals es troben actualment previstes a l’article 3.1 de la llei 4/2016 de referència: mediació, expropiació, reallotjament, dotació d’ajuts, etc. En relació amb aquesta última, l'Administració ha de dotar dels ajuts econòmics necessaris a les persones i unitats familiars en risc d’exclusió residencial o en situació de vulnerabilitat per a garantir el seu accés i ús a un habitatge digne,</w:t>
      </w:r>
      <w:r>
        <w:rPr>
          <w:rFonts w:ascii="Arial" w:hAnsi="Arial" w:cs="Arial"/>
          <w:i/>
          <w:sz w:val="22"/>
          <w:lang w:val="ca-ES"/>
        </w:rPr>
        <w:t xml:space="preserve"> </w:t>
      </w:r>
      <w:r>
        <w:rPr>
          <w:rFonts w:ascii="Arial" w:hAnsi="Arial" w:cs="Arial"/>
          <w:sz w:val="22"/>
          <w:lang w:val="ca-ES"/>
        </w:rPr>
        <w:t>garantint així el dret a l’habitatge digne i adequat com a dret fonamental reconegut ja als a</w:t>
      </w:r>
      <w:r>
        <w:rPr>
          <w:rFonts w:ascii="Arial" w:hAnsi="Arial" w:cs="Arial"/>
          <w:sz w:val="22"/>
          <w:szCs w:val="22"/>
          <w:lang w:val="ca-ES"/>
        </w:rPr>
        <w:t>rticles 26 i 47 de l’Estatut d’Autonomia de Catalunya, a l’article 47 de la Constitució, i a l’article 11 del Pacte Internacional de Drets Econòmics, Socials i Culturals (en congruència amb la Declaració Universal de Drets Humans).</w:t>
      </w:r>
    </w:p>
    <w:p w:rsidR="00994AAA" w:rsidRDefault="005E63AD">
      <w:pPr>
        <w:pStyle w:val="NormalWeb"/>
        <w:jc w:val="both"/>
        <w:rPr>
          <w:rFonts w:ascii="Arial" w:hAnsi="Arial" w:cs="Arial"/>
          <w:sz w:val="22"/>
          <w:szCs w:val="22"/>
          <w:lang w:val="ca-ES"/>
        </w:rPr>
      </w:pPr>
      <w:r>
        <w:rPr>
          <w:rFonts w:ascii="Arial" w:hAnsi="Arial" w:cs="Arial"/>
          <w:sz w:val="22"/>
          <w:szCs w:val="22"/>
          <w:lang w:val="ca-ES"/>
        </w:rPr>
        <w:t>- Que l’article 5.6 de la llei 24/2015, del 29 de juliol, de mesures urgents per a afrontar l'emergència en l'àmbit de l'hab</w:t>
      </w:r>
      <w:r w:rsidR="00FD35FF">
        <w:rPr>
          <w:rFonts w:ascii="Arial" w:hAnsi="Arial" w:cs="Arial"/>
          <w:sz w:val="22"/>
          <w:szCs w:val="22"/>
          <w:lang w:val="ca-ES"/>
        </w:rPr>
        <w:t xml:space="preserve">itatge i la pobresa energètica, en vigor des del 6 d’agost del 2015 </w:t>
      </w:r>
      <w:r>
        <w:rPr>
          <w:rFonts w:ascii="Arial" w:hAnsi="Arial" w:cs="Arial"/>
          <w:sz w:val="22"/>
          <w:szCs w:val="22"/>
          <w:lang w:val="ca-ES"/>
        </w:rPr>
        <w:t>i, en defensa dels desnonaments que no es troben en l’empara de l’article 16 de la llei 4/2016, obliga a les administracions públiques a garantir “</w:t>
      </w:r>
      <w:r>
        <w:rPr>
          <w:rFonts w:ascii="Arial" w:hAnsi="Arial" w:cs="Arial"/>
          <w:i/>
          <w:sz w:val="22"/>
          <w:szCs w:val="22"/>
          <w:lang w:val="ca-ES"/>
        </w:rPr>
        <w:t>en qualsevol cas el reallotjament adequat de les persones i unitats familiars en situació de risc d’exclusió residencial que estiguin en procés d’ésser desnonades de llur habitatge habitual</w:t>
      </w:r>
      <w:r>
        <w:rPr>
          <w:rFonts w:ascii="Arial" w:hAnsi="Arial" w:cs="Arial"/>
          <w:sz w:val="22"/>
          <w:szCs w:val="22"/>
          <w:lang w:val="ca-ES"/>
        </w:rPr>
        <w:t>”. Aquest deure recau tant s</w:t>
      </w:r>
      <w:bookmarkStart w:id="0" w:name="_GoBack"/>
      <w:bookmarkEnd w:id="0"/>
      <w:r>
        <w:rPr>
          <w:rFonts w:ascii="Arial" w:hAnsi="Arial" w:cs="Arial"/>
          <w:sz w:val="22"/>
          <w:szCs w:val="22"/>
          <w:lang w:val="ca-ES"/>
        </w:rPr>
        <w:t>obre els organismes competents en matèria d’habitatge de la Generalitat de Catalunya, com sobre l’Administració Local del territori, d’acord amb el que regula la llei.</w:t>
      </w:r>
    </w:p>
    <w:p w:rsidR="00994AAA" w:rsidRDefault="005E63AD">
      <w:pPr>
        <w:pStyle w:val="NormalWeb"/>
        <w:jc w:val="both"/>
        <w:rPr>
          <w:rFonts w:ascii="Arial" w:hAnsi="Arial" w:cs="Arial"/>
          <w:sz w:val="22"/>
          <w:szCs w:val="22"/>
          <w:lang w:val="ca-ES"/>
        </w:rPr>
      </w:pPr>
      <w:r>
        <w:rPr>
          <w:rFonts w:ascii="Arial" w:hAnsi="Arial" w:cs="Arial"/>
          <w:sz w:val="22"/>
          <w:szCs w:val="22"/>
          <w:lang w:val="ca-ES"/>
        </w:rPr>
        <w:lastRenderedPageBreak/>
        <w:t>- Que l’administració, d’acord amb el que exposa l’article 6 sobre acció pública de la Llei 18/2007 del Dret a l’Habitatge, ha de “</w:t>
      </w:r>
      <w:r>
        <w:rPr>
          <w:rFonts w:ascii="Arial" w:hAnsi="Arial" w:cs="Arial"/>
          <w:i/>
          <w:sz w:val="22"/>
          <w:szCs w:val="22"/>
          <w:lang w:val="ca-ES"/>
        </w:rPr>
        <w:t>complir amb la legislació en matèria d’habitatge, així com amb les disposicions i mesures establertes pel planejament urbanístic referides a l’habitatge</w:t>
      </w:r>
      <w:r>
        <w:rPr>
          <w:rFonts w:ascii="Arial" w:hAnsi="Arial" w:cs="Arial"/>
          <w:sz w:val="22"/>
          <w:szCs w:val="22"/>
          <w:lang w:val="ca-ES"/>
        </w:rPr>
        <w:t>”. En conseqüència, les administracions seran responsables dels danys patrimonials soferts als ciutadans, ja sigui per accions o omissions de les mateixes. Així doncs, els particulars tenen dret a ser indemnitzats per les administracions públiques per les lesions que els hi hagin causat, sempre que siguin resultat del funcionament dels serveis públics, d’acord amb el que exposen els articles 106.2 de la Constitució i 32.1 de la Llei 40/2015.</w:t>
      </w:r>
    </w:p>
    <w:p w:rsidR="00994AAA" w:rsidRDefault="005E63AD">
      <w:pPr>
        <w:pStyle w:val="NormalWeb"/>
        <w:jc w:val="both"/>
        <w:rPr>
          <w:rFonts w:ascii="Arial" w:hAnsi="Arial" w:cs="Arial"/>
          <w:sz w:val="22"/>
          <w:szCs w:val="22"/>
          <w:lang w:val="ca-ES"/>
        </w:rPr>
      </w:pPr>
      <w:r>
        <w:rPr>
          <w:rFonts w:ascii="Arial" w:hAnsi="Arial" w:cs="Arial"/>
          <w:sz w:val="22"/>
          <w:szCs w:val="22"/>
          <w:lang w:val="ca-ES"/>
        </w:rPr>
        <w:t>- Que el text legislatiu es remet als apartats 10 i 11 de l’article 5 de la Llei 24/2015, del 29 de juliol, per definir què entenem per “situacions de risc d’exclusió residencial”. D’aquesta forma, es troben en aquesta situació les persones i unitats familiars que: “</w:t>
      </w:r>
      <w:r>
        <w:rPr>
          <w:rFonts w:ascii="Arial" w:hAnsi="Arial" w:cs="Arial"/>
          <w:i/>
          <w:sz w:val="22"/>
          <w:szCs w:val="22"/>
          <w:lang w:val="ca-ES"/>
        </w:rPr>
        <w:t>tinguin uns ingressos inferiors a 2 vegades l’IRSC, si es tracta de persones que viuen soles, o uns ingressos inferiors a 2,5 vegades l’IRSC, si es tracta d’unitats de convivència, o uns ingressos inferiors a 3 vegades l’IRSC, en cas de persones amb discapacitats o amb dependència. En el cas que els ingressos siguin superiors a 1,5 vegades l’IRSC, cal un informe de serveis socials que acrediti el risc d’exclusió residencial</w:t>
      </w:r>
      <w:r>
        <w:rPr>
          <w:rFonts w:ascii="Arial" w:hAnsi="Arial" w:cs="Arial"/>
          <w:sz w:val="22"/>
          <w:szCs w:val="22"/>
          <w:lang w:val="ca-ES"/>
        </w:rPr>
        <w:t>”. I, junt amb aquestes persones, i de forma excepcional: “</w:t>
      </w:r>
      <w:r>
        <w:rPr>
          <w:rFonts w:ascii="Arial" w:hAnsi="Arial" w:cs="Arial"/>
          <w:i/>
          <w:sz w:val="22"/>
          <w:szCs w:val="22"/>
          <w:lang w:val="ca-ES"/>
        </w:rPr>
        <w:t>persones i unitats familiars que superin els límits d’ingressos que s’hi fixen, sempre que disposin d’un informe dels serveis socials que acrediti que estan sotmeses a un risc imminent de pèrdua de l’habitatge i no disposen d’alternativa d’habitatge pròpia</w:t>
      </w:r>
      <w:r>
        <w:rPr>
          <w:rFonts w:ascii="Arial" w:hAnsi="Arial" w:cs="Arial"/>
          <w:sz w:val="22"/>
          <w:szCs w:val="22"/>
          <w:lang w:val="ca-ES"/>
        </w:rPr>
        <w:t xml:space="preserve">”. </w:t>
      </w:r>
    </w:p>
    <w:p w:rsidR="00994AAA" w:rsidRDefault="00994AAA">
      <w:pPr>
        <w:pStyle w:val="NormalWeb"/>
        <w:jc w:val="both"/>
        <w:rPr>
          <w:rFonts w:ascii="Arial" w:hAnsi="Arial" w:cs="Arial"/>
          <w:color w:val="FF0000"/>
          <w:sz w:val="22"/>
          <w:szCs w:val="22"/>
          <w:lang w:val="ca-ES"/>
        </w:rPr>
      </w:pPr>
    </w:p>
    <w:p w:rsidR="00994AAA" w:rsidRDefault="005E63AD">
      <w:pPr>
        <w:jc w:val="both"/>
        <w:rPr>
          <w:rFonts w:ascii="Arial" w:hAnsi="Arial" w:cs="Arial"/>
          <w:b/>
          <w:lang w:val="ca-ES"/>
        </w:rPr>
      </w:pPr>
      <w:r>
        <w:rPr>
          <w:rFonts w:ascii="Arial" w:hAnsi="Arial" w:cs="Arial"/>
          <w:lang w:val="ca-ES"/>
        </w:rPr>
        <w:t xml:space="preserve"> Per tot l’anterior, </w:t>
      </w:r>
      <w:r>
        <w:rPr>
          <w:rFonts w:ascii="Arial" w:hAnsi="Arial" w:cs="Arial"/>
          <w:b/>
          <w:lang w:val="ca-ES"/>
        </w:rPr>
        <w:t>SOL·LICITA:</w:t>
      </w:r>
    </w:p>
    <w:p w:rsidR="00994AAA" w:rsidRDefault="005E63AD">
      <w:pPr>
        <w:pStyle w:val="Prrafodelista"/>
        <w:numPr>
          <w:ilvl w:val="0"/>
          <w:numId w:val="1"/>
        </w:numPr>
        <w:jc w:val="both"/>
        <w:rPr>
          <w:rFonts w:ascii="Arial" w:hAnsi="Arial" w:cs="Arial"/>
          <w:lang w:val="ca-ES"/>
        </w:rPr>
      </w:pPr>
      <w:r>
        <w:rPr>
          <w:rFonts w:ascii="Arial" w:hAnsi="Arial" w:cs="Arial"/>
          <w:lang w:val="ca-ES"/>
        </w:rPr>
        <w:t xml:space="preserve">Que l’Administració compleixi amb la seva obligació de garantir els </w:t>
      </w:r>
      <w:r>
        <w:rPr>
          <w:rFonts w:ascii="Arial" w:hAnsi="Arial" w:cs="Arial"/>
          <w:b/>
          <w:lang w:val="ca-ES"/>
        </w:rPr>
        <w:t>ajuts necessaris</w:t>
      </w:r>
      <w:r>
        <w:rPr>
          <w:rFonts w:ascii="Arial" w:hAnsi="Arial" w:cs="Arial"/>
          <w:lang w:val="ca-ES"/>
        </w:rPr>
        <w:t>, un cop examinades les circumstàncies personals i socioeconòmiques, que evitin el llançament i, subsidiàriament,</w:t>
      </w:r>
      <w:r>
        <w:rPr>
          <w:rFonts w:ascii="Arial" w:hAnsi="Arial" w:cs="Arial"/>
          <w:b/>
          <w:lang w:val="ca-ES"/>
        </w:rPr>
        <w:t xml:space="preserve"> </w:t>
      </w:r>
      <w:r>
        <w:rPr>
          <w:rFonts w:ascii="Arial" w:hAnsi="Arial" w:cs="Arial"/>
          <w:lang w:val="ca-ES"/>
        </w:rPr>
        <w:t xml:space="preserve">que </w:t>
      </w:r>
      <w:r>
        <w:rPr>
          <w:rFonts w:ascii="Arial" w:hAnsi="Arial" w:cs="Arial"/>
          <w:b/>
          <w:lang w:val="ca-ES"/>
        </w:rPr>
        <w:t>garanteixi el reallotjament adequat</w:t>
      </w:r>
      <w:r>
        <w:rPr>
          <w:rFonts w:ascii="Arial" w:hAnsi="Arial" w:cs="Arial"/>
          <w:lang w:val="ca-ES"/>
        </w:rPr>
        <w:t xml:space="preserve"> al present cas el més aviat possible, donada la situació d’emergència en què ens trobem.</w:t>
      </w:r>
    </w:p>
    <w:p w:rsidR="00994AAA" w:rsidRDefault="005E63AD">
      <w:pPr>
        <w:pStyle w:val="Prrafodelista"/>
        <w:numPr>
          <w:ilvl w:val="0"/>
          <w:numId w:val="1"/>
        </w:numPr>
        <w:jc w:val="both"/>
        <w:rPr>
          <w:rFonts w:ascii="Arial" w:hAnsi="Arial" w:cs="Arial"/>
          <w:lang w:val="ca-ES"/>
        </w:rPr>
      </w:pPr>
      <w:r>
        <w:rPr>
          <w:rFonts w:ascii="Arial" w:hAnsi="Arial" w:cs="Arial"/>
          <w:lang w:val="ca-ES"/>
        </w:rPr>
        <w:t xml:space="preserve">Que per donar compliment al deure, d’acord amb la Llei 4/2016, del 23 de desembre, de garantir habitatge adequat a les persones o unitats familiars en risc d’exclusió residencial i que no tenen alternativa </w:t>
      </w:r>
      <w:proofErr w:type="spellStart"/>
      <w:r>
        <w:rPr>
          <w:rFonts w:ascii="Arial" w:hAnsi="Arial" w:cs="Arial"/>
          <w:lang w:val="ca-ES"/>
        </w:rPr>
        <w:t>habitacional</w:t>
      </w:r>
      <w:proofErr w:type="spellEnd"/>
      <w:r>
        <w:rPr>
          <w:rFonts w:ascii="Arial" w:hAnsi="Arial" w:cs="Arial"/>
          <w:lang w:val="ca-ES"/>
        </w:rPr>
        <w:t xml:space="preserve"> pròpia, l’Administració  sol·liciti per tots els mitjans possibles </w:t>
      </w:r>
      <w:r>
        <w:rPr>
          <w:rFonts w:ascii="Arial" w:hAnsi="Arial" w:cs="Arial"/>
          <w:b/>
          <w:lang w:val="ca-ES"/>
        </w:rPr>
        <w:t>la suspensió del procediment judicial,</w:t>
      </w:r>
      <w:r>
        <w:rPr>
          <w:rFonts w:ascii="Arial" w:hAnsi="Arial" w:cs="Arial"/>
          <w:lang w:val="ca-ES"/>
        </w:rPr>
        <w:t xml:space="preserve"> a fi de tenir temps per a poder trobar una solució </w:t>
      </w:r>
      <w:proofErr w:type="spellStart"/>
      <w:r>
        <w:rPr>
          <w:rFonts w:ascii="Arial" w:hAnsi="Arial" w:cs="Arial"/>
          <w:lang w:val="ca-ES"/>
        </w:rPr>
        <w:t>habitacional</w:t>
      </w:r>
      <w:proofErr w:type="spellEnd"/>
      <w:r>
        <w:rPr>
          <w:rFonts w:ascii="Arial" w:hAnsi="Arial" w:cs="Arial"/>
          <w:lang w:val="ca-ES"/>
        </w:rPr>
        <w:t xml:space="preserve"> al meu cas.</w:t>
      </w:r>
    </w:p>
    <w:p w:rsidR="00994AAA" w:rsidRDefault="00994AAA">
      <w:pPr>
        <w:jc w:val="both"/>
        <w:rPr>
          <w:rFonts w:ascii="Arial" w:hAnsi="Arial" w:cs="Arial"/>
          <w:lang w:val="ca-ES"/>
        </w:rPr>
      </w:pPr>
    </w:p>
    <w:p w:rsidR="00994AAA" w:rsidRDefault="005E63AD">
      <w:pPr>
        <w:pStyle w:val="NormalWeb"/>
        <w:jc w:val="both"/>
        <w:rPr>
          <w:rFonts w:ascii="Arial" w:hAnsi="Arial" w:cs="Arial"/>
          <w:sz w:val="22"/>
          <w:lang w:val="ca-ES"/>
        </w:rPr>
      </w:pPr>
      <w:r>
        <w:rPr>
          <w:rFonts w:ascii="Arial" w:hAnsi="Arial" w:cs="Arial"/>
          <w:color w:val="00B050"/>
          <w:sz w:val="22"/>
          <w:lang w:val="ca-ES"/>
        </w:rPr>
        <w:t>Localitat</w:t>
      </w:r>
      <w:r>
        <w:rPr>
          <w:rFonts w:ascii="Arial" w:hAnsi="Arial" w:cs="Arial"/>
          <w:sz w:val="22"/>
          <w:lang w:val="ca-ES"/>
        </w:rPr>
        <w:t xml:space="preserve">,  a </w:t>
      </w:r>
      <w:r>
        <w:rPr>
          <w:rFonts w:ascii="Arial" w:hAnsi="Arial" w:cs="Arial"/>
          <w:color w:val="00B050"/>
          <w:sz w:val="22"/>
          <w:lang w:val="ca-ES"/>
        </w:rPr>
        <w:t>XX</w:t>
      </w:r>
      <w:r>
        <w:rPr>
          <w:rFonts w:ascii="Arial" w:hAnsi="Arial" w:cs="Arial"/>
          <w:sz w:val="22"/>
          <w:lang w:val="ca-ES"/>
        </w:rPr>
        <w:t xml:space="preserve"> de</w:t>
      </w:r>
      <w:r>
        <w:rPr>
          <w:rFonts w:ascii="Arial" w:hAnsi="Arial" w:cs="Arial"/>
          <w:color w:val="00B050"/>
          <w:sz w:val="22"/>
          <w:lang w:val="ca-ES"/>
        </w:rPr>
        <w:t xml:space="preserve"> XX</w:t>
      </w:r>
      <w:r>
        <w:rPr>
          <w:rFonts w:ascii="Arial" w:hAnsi="Arial" w:cs="Arial"/>
          <w:sz w:val="22"/>
          <w:lang w:val="ca-ES"/>
        </w:rPr>
        <w:t xml:space="preserve"> de 20</w:t>
      </w:r>
      <w:r>
        <w:rPr>
          <w:rFonts w:ascii="Arial" w:hAnsi="Arial" w:cs="Arial"/>
          <w:color w:val="00B050"/>
          <w:sz w:val="22"/>
          <w:lang w:val="ca-ES"/>
        </w:rPr>
        <w:t>XX</w:t>
      </w:r>
      <w:r>
        <w:rPr>
          <w:rFonts w:ascii="Arial" w:hAnsi="Arial" w:cs="Arial"/>
          <w:sz w:val="22"/>
          <w:lang w:val="ca-ES"/>
        </w:rPr>
        <w:t xml:space="preserve"> </w:t>
      </w:r>
    </w:p>
    <w:p w:rsidR="00994AAA" w:rsidRDefault="005E63AD">
      <w:pPr>
        <w:jc w:val="both"/>
        <w:rPr>
          <w:rFonts w:ascii="Arial" w:hAnsi="Arial" w:cs="Arial"/>
          <w:color w:val="00B050"/>
        </w:rPr>
      </w:pPr>
      <w:r>
        <w:rPr>
          <w:rFonts w:ascii="Arial" w:hAnsi="Arial" w:cs="Arial"/>
          <w:color w:val="00B050"/>
        </w:rPr>
        <w:t>Firma</w:t>
      </w:r>
    </w:p>
    <w:p w:rsidR="00994AAA" w:rsidRDefault="00994AAA">
      <w:pPr>
        <w:jc w:val="both"/>
        <w:rPr>
          <w:rFonts w:ascii="Arial" w:hAnsi="Arial" w:cs="Arial"/>
          <w:color w:val="00B050"/>
        </w:rPr>
      </w:pPr>
    </w:p>
    <w:p w:rsidR="00994AAA" w:rsidRDefault="005E63AD">
      <w:pPr>
        <w:jc w:val="both"/>
        <w:rPr>
          <w:rFonts w:ascii="Arial" w:hAnsi="Arial" w:cs="Arial"/>
          <w:color w:val="00B050"/>
        </w:rPr>
      </w:pPr>
      <w:proofErr w:type="spellStart"/>
      <w:r>
        <w:rPr>
          <w:rFonts w:ascii="Arial" w:hAnsi="Arial" w:cs="Arial"/>
          <w:color w:val="00B050"/>
        </w:rPr>
        <w:t>Nom</w:t>
      </w:r>
      <w:proofErr w:type="spellEnd"/>
      <w:r>
        <w:rPr>
          <w:rFonts w:ascii="Arial" w:hAnsi="Arial" w:cs="Arial"/>
          <w:color w:val="00B050"/>
        </w:rPr>
        <w:t xml:space="preserve"> </w:t>
      </w:r>
      <w:proofErr w:type="spellStart"/>
      <w:r>
        <w:rPr>
          <w:rFonts w:ascii="Arial" w:hAnsi="Arial" w:cs="Arial"/>
          <w:color w:val="00B050"/>
        </w:rPr>
        <w:t>inquili</w:t>
      </w:r>
      <w:proofErr w:type="spellEnd"/>
      <w:r>
        <w:rPr>
          <w:rFonts w:ascii="Arial" w:hAnsi="Arial" w:cs="Arial"/>
          <w:color w:val="00B050"/>
        </w:rPr>
        <w:t>/</w:t>
      </w:r>
      <w:proofErr w:type="spellStart"/>
      <w:r>
        <w:rPr>
          <w:rFonts w:ascii="Arial" w:hAnsi="Arial" w:cs="Arial"/>
          <w:color w:val="00B050"/>
        </w:rPr>
        <w:t>ina</w:t>
      </w:r>
      <w:proofErr w:type="spellEnd"/>
    </w:p>
    <w:sectPr w:rsidR="00994AAA">
      <w:footerReference w:type="default" r:id="rId7"/>
      <w:pgSz w:w="11906" w:h="16838"/>
      <w:pgMar w:top="1417" w:right="1701" w:bottom="1417" w:left="1701"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AC9" w:rsidRDefault="000D5AC9" w:rsidP="00FA69E7">
      <w:pPr>
        <w:spacing w:after="0" w:line="240" w:lineRule="auto"/>
      </w:pPr>
      <w:r>
        <w:separator/>
      </w:r>
    </w:p>
  </w:endnote>
  <w:endnote w:type="continuationSeparator" w:id="0">
    <w:p w:rsidR="000D5AC9" w:rsidRDefault="000D5AC9" w:rsidP="00FA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Zen Hei Sharp">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E7" w:rsidRPr="003C2A5B" w:rsidRDefault="00FA69E7" w:rsidP="00FA69E7">
    <w:pPr>
      <w:tabs>
        <w:tab w:val="center" w:pos="4252"/>
        <w:tab w:val="right" w:pos="8504"/>
      </w:tabs>
      <w:rPr>
        <w:rFonts w:ascii="Arial" w:hAnsi="Arial" w:cs="Arial"/>
        <w:color w:val="auto"/>
        <w:sz w:val="16"/>
        <w:szCs w:val="16"/>
      </w:rPr>
    </w:pPr>
    <w:r w:rsidRPr="003C2A5B">
      <w:rPr>
        <w:rFonts w:eastAsia="WenQuanYi Zen Hei Sharp"/>
        <w:noProof/>
      </w:rPr>
      <w:drawing>
        <wp:anchor distT="0" distB="0" distL="114300" distR="114300" simplePos="0" relativeHeight="251659264" behindDoc="0" locked="0" layoutInCell="1" allowOverlap="1" wp14:anchorId="27387D95" wp14:editId="3D368789">
          <wp:simplePos x="0" y="0"/>
          <wp:positionH relativeFrom="column">
            <wp:posOffset>3175</wp:posOffset>
          </wp:positionH>
          <wp:positionV relativeFrom="paragraph">
            <wp:posOffset>374954</wp:posOffset>
          </wp:positionV>
          <wp:extent cx="1029335" cy="35750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357505"/>
                  </a:xfrm>
                  <a:prstGeom prst="rect">
                    <a:avLst/>
                  </a:prstGeom>
                  <a:noFill/>
                </pic:spPr>
              </pic:pic>
            </a:graphicData>
          </a:graphic>
          <wp14:sizeRelH relativeFrom="page">
            <wp14:pctWidth>0</wp14:pctWidth>
          </wp14:sizeRelH>
          <wp14:sizeRelV relativeFrom="page">
            <wp14:pctHeight>0</wp14:pctHeight>
          </wp14:sizeRelV>
        </wp:anchor>
      </w:drawing>
    </w:r>
    <w:r w:rsidRPr="003C2A5B">
      <w:rPr>
        <w:rFonts w:eastAsia="WenQuanYi Zen Hei Sharp"/>
        <w:noProof/>
      </w:rPr>
      <w:drawing>
        <wp:anchor distT="0" distB="0" distL="114300" distR="114300" simplePos="0" relativeHeight="251657216" behindDoc="0" locked="0" layoutInCell="1" allowOverlap="1" wp14:anchorId="63B072FE" wp14:editId="0338704A">
          <wp:simplePos x="0" y="0"/>
          <wp:positionH relativeFrom="column">
            <wp:posOffset>4827408</wp:posOffset>
          </wp:positionH>
          <wp:positionV relativeFrom="paragraph">
            <wp:posOffset>281581</wp:posOffset>
          </wp:positionV>
          <wp:extent cx="572135" cy="5721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3C2A5B">
      <w:rPr>
        <w:rFonts w:ascii="Arial" w:eastAsia="WenQuanYi Zen Hei Sharp" w:hAnsi="Arial" w:cs="Arial"/>
        <w:i/>
        <w:iCs/>
        <w:sz w:val="16"/>
        <w:szCs w:val="16"/>
        <w:lang w:eastAsia="en-US"/>
      </w:rPr>
      <w:t>Document</w:t>
    </w:r>
    <w:proofErr w:type="spellEnd"/>
    <w:r w:rsidRPr="003C2A5B">
      <w:rPr>
        <w:rFonts w:ascii="Arial" w:eastAsia="WenQuanYi Zen Hei Sharp" w:hAnsi="Arial" w:cs="Arial"/>
        <w:i/>
        <w:iCs/>
        <w:sz w:val="16"/>
        <w:szCs w:val="16"/>
        <w:lang w:eastAsia="en-US"/>
      </w:rPr>
      <w:t xml:space="preserve"> </w:t>
    </w:r>
    <w:proofErr w:type="spellStart"/>
    <w:r w:rsidRPr="003C2A5B">
      <w:rPr>
        <w:rFonts w:ascii="Arial" w:eastAsia="WenQuanYi Zen Hei Sharp" w:hAnsi="Arial" w:cs="Arial"/>
        <w:i/>
        <w:iCs/>
        <w:sz w:val="16"/>
        <w:szCs w:val="16"/>
        <w:lang w:eastAsia="en-US"/>
      </w:rPr>
      <w:t>el·laborat</w:t>
    </w:r>
    <w:proofErr w:type="spellEnd"/>
    <w:r w:rsidRPr="003C2A5B">
      <w:rPr>
        <w:rFonts w:ascii="Arial" w:eastAsia="WenQuanYi Zen Hei Sharp" w:hAnsi="Arial" w:cs="Arial"/>
        <w:i/>
        <w:iCs/>
        <w:sz w:val="16"/>
        <w:szCs w:val="16"/>
        <w:lang w:eastAsia="en-US"/>
      </w:rPr>
      <w:t xml:space="preserve"> </w:t>
    </w:r>
    <w:proofErr w:type="spellStart"/>
    <w:r w:rsidRPr="003C2A5B">
      <w:rPr>
        <w:rFonts w:ascii="Arial" w:eastAsia="WenQuanYi Zen Hei Sharp" w:hAnsi="Arial" w:cs="Arial"/>
        <w:i/>
        <w:iCs/>
        <w:sz w:val="16"/>
        <w:szCs w:val="16"/>
        <w:lang w:eastAsia="en-US"/>
      </w:rPr>
      <w:t>pel</w:t>
    </w:r>
    <w:proofErr w:type="spellEnd"/>
    <w:r w:rsidRPr="003C2A5B">
      <w:rPr>
        <w:rFonts w:ascii="Arial" w:eastAsia="WenQuanYi Zen Hei Sharp" w:hAnsi="Arial" w:cs="Arial"/>
        <w:i/>
        <w:iCs/>
        <w:sz w:val="16"/>
        <w:szCs w:val="16"/>
        <w:lang w:eastAsia="en-US"/>
      </w:rPr>
      <w:t xml:space="preserve"> </w:t>
    </w:r>
    <w:proofErr w:type="spellStart"/>
    <w:r w:rsidRPr="003C2A5B">
      <w:rPr>
        <w:rFonts w:ascii="Arial" w:eastAsia="WenQuanYi Zen Hei Sharp" w:hAnsi="Arial" w:cs="Arial"/>
        <w:i/>
        <w:iCs/>
        <w:sz w:val="16"/>
        <w:szCs w:val="16"/>
        <w:lang w:eastAsia="en-US"/>
      </w:rPr>
      <w:t>Grup</w:t>
    </w:r>
    <w:proofErr w:type="spellEnd"/>
    <w:r w:rsidRPr="003C2A5B">
      <w:rPr>
        <w:rFonts w:ascii="Arial" w:eastAsia="WenQuanYi Zen Hei Sharp" w:hAnsi="Arial" w:cs="Arial"/>
        <w:i/>
        <w:iCs/>
        <w:sz w:val="16"/>
        <w:szCs w:val="16"/>
        <w:lang w:eastAsia="en-US"/>
      </w:rPr>
      <w:t xml:space="preserve"> Promotor de la ILP </w:t>
    </w:r>
    <w:proofErr w:type="spellStart"/>
    <w:r w:rsidRPr="003C2A5B">
      <w:rPr>
        <w:rFonts w:ascii="Arial" w:eastAsia="WenQuanYi Zen Hei Sharp" w:hAnsi="Arial" w:cs="Arial"/>
        <w:i/>
        <w:iCs/>
        <w:sz w:val="16"/>
        <w:szCs w:val="16"/>
        <w:lang w:eastAsia="en-US"/>
      </w:rPr>
      <w:t>Habitatge</w:t>
    </w:r>
    <w:proofErr w:type="spellEnd"/>
    <w:r w:rsidRPr="003C2A5B">
      <w:rPr>
        <w:rFonts w:ascii="Arial" w:eastAsia="WenQuanYi Zen Hei Sharp" w:hAnsi="Arial" w:cs="Arial"/>
        <w:i/>
        <w:iCs/>
        <w:sz w:val="16"/>
        <w:szCs w:val="16"/>
        <w:lang w:eastAsia="en-US"/>
      </w:rPr>
      <w:t xml:space="preserve"> (Plataforma </w:t>
    </w:r>
    <w:proofErr w:type="spellStart"/>
    <w:r w:rsidRPr="003C2A5B">
      <w:rPr>
        <w:rFonts w:ascii="Arial" w:eastAsia="WenQuanYi Zen Hei Sharp" w:hAnsi="Arial" w:cs="Arial"/>
        <w:i/>
        <w:iCs/>
        <w:sz w:val="16"/>
        <w:szCs w:val="16"/>
        <w:lang w:eastAsia="en-US"/>
      </w:rPr>
      <w:t>d'Afectats</w:t>
    </w:r>
    <w:proofErr w:type="spellEnd"/>
    <w:r w:rsidRPr="003C2A5B">
      <w:rPr>
        <w:rFonts w:ascii="Arial" w:eastAsia="WenQuanYi Zen Hei Sharp" w:hAnsi="Arial" w:cs="Arial"/>
        <w:i/>
        <w:iCs/>
        <w:sz w:val="16"/>
        <w:szCs w:val="16"/>
        <w:lang w:eastAsia="en-US"/>
      </w:rPr>
      <w:t xml:space="preserve"> per les Hipoteques-PAH, </w:t>
    </w:r>
    <w:proofErr w:type="spellStart"/>
    <w:r w:rsidRPr="003C2A5B">
      <w:rPr>
        <w:rFonts w:ascii="Arial" w:eastAsia="WenQuanYi Zen Hei Sharp" w:hAnsi="Arial" w:cs="Arial"/>
        <w:i/>
        <w:iCs/>
        <w:sz w:val="16"/>
        <w:szCs w:val="16"/>
        <w:lang w:eastAsia="en-US"/>
      </w:rPr>
      <w:t>l'Aliança</w:t>
    </w:r>
    <w:proofErr w:type="spellEnd"/>
    <w:r w:rsidRPr="003C2A5B">
      <w:rPr>
        <w:rFonts w:ascii="Arial" w:eastAsia="WenQuanYi Zen Hei Sharp" w:hAnsi="Arial" w:cs="Arial"/>
        <w:i/>
        <w:iCs/>
        <w:sz w:val="16"/>
        <w:szCs w:val="16"/>
        <w:lang w:eastAsia="en-US"/>
      </w:rPr>
      <w:t xml:space="preserve"> Contra la </w:t>
    </w:r>
    <w:proofErr w:type="spellStart"/>
    <w:r w:rsidRPr="003C2A5B">
      <w:rPr>
        <w:rFonts w:ascii="Arial" w:eastAsia="WenQuanYi Zen Hei Sharp" w:hAnsi="Arial" w:cs="Arial"/>
        <w:i/>
        <w:iCs/>
        <w:sz w:val="16"/>
        <w:szCs w:val="16"/>
        <w:lang w:eastAsia="en-US"/>
      </w:rPr>
      <w:t>Pobresa</w:t>
    </w:r>
    <w:proofErr w:type="spellEnd"/>
    <w:r w:rsidRPr="003C2A5B">
      <w:rPr>
        <w:rFonts w:ascii="Arial" w:eastAsia="WenQuanYi Zen Hei Sharp" w:hAnsi="Arial" w:cs="Arial"/>
        <w:i/>
        <w:iCs/>
        <w:sz w:val="16"/>
        <w:szCs w:val="16"/>
        <w:lang w:eastAsia="en-US"/>
      </w:rPr>
      <w:t xml:space="preserve"> </w:t>
    </w:r>
    <w:proofErr w:type="spellStart"/>
    <w:r w:rsidRPr="003C2A5B">
      <w:rPr>
        <w:rFonts w:ascii="Arial" w:eastAsia="WenQuanYi Zen Hei Sharp" w:hAnsi="Arial" w:cs="Arial"/>
        <w:i/>
        <w:iCs/>
        <w:sz w:val="16"/>
        <w:szCs w:val="16"/>
        <w:lang w:eastAsia="en-US"/>
      </w:rPr>
      <w:t>Energètica</w:t>
    </w:r>
    <w:proofErr w:type="spellEnd"/>
    <w:r w:rsidRPr="003C2A5B">
      <w:rPr>
        <w:rFonts w:ascii="Arial" w:eastAsia="WenQuanYi Zen Hei Sharp" w:hAnsi="Arial" w:cs="Arial"/>
        <w:i/>
        <w:iCs/>
        <w:sz w:val="16"/>
        <w:szCs w:val="16"/>
        <w:lang w:eastAsia="en-US"/>
      </w:rPr>
      <w:t xml:space="preserve">-APE, i </w:t>
    </w:r>
    <w:proofErr w:type="spellStart"/>
    <w:r w:rsidRPr="003C2A5B">
      <w:rPr>
        <w:rFonts w:ascii="Arial" w:eastAsia="WenQuanYi Zen Hei Sharp" w:hAnsi="Arial" w:cs="Arial"/>
        <w:i/>
        <w:iCs/>
        <w:sz w:val="16"/>
        <w:szCs w:val="16"/>
        <w:lang w:eastAsia="en-US"/>
      </w:rPr>
      <w:t>l'Observatori</w:t>
    </w:r>
    <w:proofErr w:type="spellEnd"/>
    <w:r w:rsidRPr="003C2A5B">
      <w:rPr>
        <w:rFonts w:ascii="Arial" w:eastAsia="WenQuanYi Zen Hei Sharp" w:hAnsi="Arial" w:cs="Arial"/>
        <w:i/>
        <w:iCs/>
        <w:sz w:val="16"/>
        <w:szCs w:val="16"/>
        <w:lang w:eastAsia="en-US"/>
      </w:rPr>
      <w:t xml:space="preserve"> DESC. Usar i compartir en favor del </w:t>
    </w:r>
    <w:proofErr w:type="spellStart"/>
    <w:r w:rsidRPr="003C2A5B">
      <w:rPr>
        <w:rFonts w:ascii="Arial" w:eastAsia="WenQuanYi Zen Hei Sharp" w:hAnsi="Arial" w:cs="Arial"/>
        <w:i/>
        <w:iCs/>
        <w:sz w:val="16"/>
        <w:szCs w:val="16"/>
        <w:lang w:eastAsia="en-US"/>
      </w:rPr>
      <w:t>dret</w:t>
    </w:r>
    <w:proofErr w:type="spellEnd"/>
    <w:r w:rsidRPr="003C2A5B">
      <w:rPr>
        <w:rFonts w:ascii="Arial" w:eastAsia="WenQuanYi Zen Hei Sharp" w:hAnsi="Arial" w:cs="Arial"/>
        <w:i/>
        <w:iCs/>
        <w:sz w:val="16"/>
        <w:szCs w:val="16"/>
        <w:lang w:eastAsia="en-US"/>
      </w:rPr>
      <w:t xml:space="preserve"> a </w:t>
    </w:r>
    <w:proofErr w:type="spellStart"/>
    <w:r w:rsidRPr="003C2A5B">
      <w:rPr>
        <w:rFonts w:ascii="Arial" w:eastAsia="WenQuanYi Zen Hei Sharp" w:hAnsi="Arial" w:cs="Arial"/>
        <w:i/>
        <w:iCs/>
        <w:sz w:val="16"/>
        <w:szCs w:val="16"/>
        <w:lang w:eastAsia="en-US"/>
      </w:rPr>
      <w:t>l'habitatge</w:t>
    </w:r>
    <w:proofErr w:type="spellEnd"/>
    <w:r w:rsidRPr="003C2A5B">
      <w:rPr>
        <w:rFonts w:ascii="Arial" w:eastAsia="WenQuanYi Zen Hei Sharp" w:hAnsi="Arial" w:cs="Arial"/>
        <w:i/>
        <w:iCs/>
        <w:sz w:val="16"/>
        <w:szCs w:val="16"/>
        <w:lang w:eastAsia="en-US"/>
      </w:rPr>
      <w:t xml:space="preserve">. </w:t>
    </w:r>
    <w:proofErr w:type="spellStart"/>
    <w:r w:rsidRPr="003C2A5B">
      <w:rPr>
        <w:rFonts w:ascii="Arial" w:eastAsia="WenQuanYi Zen Hei Sharp" w:hAnsi="Arial" w:cs="Arial"/>
        <w:i/>
        <w:iCs/>
        <w:sz w:val="16"/>
        <w:szCs w:val="16"/>
        <w:lang w:eastAsia="en-US"/>
      </w:rPr>
      <w:t>Llicència</w:t>
    </w:r>
    <w:proofErr w:type="spellEnd"/>
    <w:r w:rsidRPr="003C2A5B">
      <w:rPr>
        <w:rFonts w:ascii="Arial" w:eastAsia="WenQuanYi Zen Hei Sharp" w:hAnsi="Arial" w:cs="Arial"/>
        <w:i/>
        <w:iCs/>
        <w:sz w:val="16"/>
        <w:szCs w:val="16"/>
        <w:lang w:eastAsia="en-US"/>
      </w:rPr>
      <w:t xml:space="preserve"> </w:t>
    </w:r>
    <w:proofErr w:type="spellStart"/>
    <w:r w:rsidRPr="003C2A5B">
      <w:rPr>
        <w:rFonts w:ascii="Arial" w:eastAsia="WenQuanYi Zen Hei Sharp" w:hAnsi="Arial" w:cs="Arial"/>
        <w:i/>
        <w:iCs/>
        <w:sz w:val="16"/>
        <w:szCs w:val="16"/>
        <w:lang w:eastAsia="en-US"/>
      </w:rPr>
      <w:t>Creative</w:t>
    </w:r>
    <w:proofErr w:type="spellEnd"/>
    <w:r w:rsidRPr="003C2A5B">
      <w:rPr>
        <w:rFonts w:ascii="Arial" w:eastAsia="WenQuanYi Zen Hei Sharp" w:hAnsi="Arial" w:cs="Arial"/>
        <w:i/>
        <w:iCs/>
        <w:sz w:val="16"/>
        <w:szCs w:val="16"/>
        <w:lang w:eastAsia="en-US"/>
      </w:rPr>
      <w:t xml:space="preserve"> </w:t>
    </w:r>
    <w:proofErr w:type="spellStart"/>
    <w:r w:rsidRPr="003C2A5B">
      <w:rPr>
        <w:rFonts w:ascii="Arial" w:eastAsia="WenQuanYi Zen Hei Sharp" w:hAnsi="Arial" w:cs="Arial"/>
        <w:i/>
        <w:iCs/>
        <w:sz w:val="16"/>
        <w:szCs w:val="16"/>
        <w:lang w:eastAsia="en-US"/>
      </w:rPr>
      <w:t>Commons</w:t>
    </w:r>
    <w:proofErr w:type="spellEnd"/>
    <w:r w:rsidRPr="003C2A5B">
      <w:rPr>
        <w:rFonts w:ascii="Arial" w:eastAsia="WenQuanYi Zen Hei Sharp" w:hAnsi="Arial" w:cs="Arial"/>
        <w:sz w:val="16"/>
        <w:szCs w:val="16"/>
        <w:lang w:eastAsia="en-US"/>
      </w:rPr>
      <w:t xml:space="preserve">" </w:t>
    </w:r>
    <w:r w:rsidRPr="003C2A5B">
      <w:rPr>
        <w:rFonts w:ascii="Arial" w:eastAsia="WenQuanYi Zen Hei Sharp" w:hAnsi="Arial" w:cs="Arial"/>
        <w:sz w:val="16"/>
        <w:szCs w:val="16"/>
        <w:lang w:eastAsia="en-US"/>
      </w:rPr>
      <w:tab/>
      <w:t xml:space="preserve"> </w:t>
    </w:r>
  </w:p>
  <w:p w:rsidR="00FA69E7" w:rsidRPr="003C2A5B" w:rsidRDefault="00FA69E7" w:rsidP="00FA69E7">
    <w:pPr>
      <w:tabs>
        <w:tab w:val="center" w:pos="4252"/>
        <w:tab w:val="right" w:pos="8504"/>
      </w:tabs>
      <w:rPr>
        <w:rFonts w:eastAsia="WenQuanYi Zen Hei Sharp"/>
        <w:lang w:eastAsia="en-US"/>
      </w:rPr>
    </w:pPr>
  </w:p>
  <w:p w:rsidR="00FA69E7" w:rsidRDefault="00FA69E7">
    <w:pPr>
      <w:pStyle w:val="Piedepgina"/>
    </w:pPr>
  </w:p>
  <w:p w:rsidR="00FA69E7" w:rsidRDefault="00FA69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AC9" w:rsidRDefault="000D5AC9" w:rsidP="00FA69E7">
      <w:pPr>
        <w:spacing w:after="0" w:line="240" w:lineRule="auto"/>
      </w:pPr>
      <w:r>
        <w:separator/>
      </w:r>
    </w:p>
  </w:footnote>
  <w:footnote w:type="continuationSeparator" w:id="0">
    <w:p w:rsidR="000D5AC9" w:rsidRDefault="000D5AC9" w:rsidP="00FA6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A69FB"/>
    <w:multiLevelType w:val="multilevel"/>
    <w:tmpl w:val="1AE069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DFF1EB0"/>
    <w:multiLevelType w:val="multilevel"/>
    <w:tmpl w:val="00A629D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AAA"/>
    <w:rsid w:val="000D5AC9"/>
    <w:rsid w:val="005E63AD"/>
    <w:rsid w:val="00994AAA"/>
    <w:rsid w:val="00FA69E7"/>
    <w:rsid w:val="00FD35F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98E09-5336-4741-9464-38621E56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color w:val="00000A"/>
    </w:rPr>
  </w:style>
  <w:style w:type="paragraph" w:styleId="Ttulo1">
    <w:name w:val="heading 1"/>
    <w:basedOn w:val="Normal"/>
    <w:next w:val="Normal"/>
    <w:link w:val="Ttulo1Car"/>
    <w:uiPriority w:val="9"/>
    <w:qFormat/>
    <w:rsid w:val="00FD3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A5B2A"/>
    <w:rPr>
      <w:sz w:val="16"/>
      <w:szCs w:val="16"/>
    </w:rPr>
  </w:style>
  <w:style w:type="character" w:customStyle="1" w:styleId="TextocomentarioCar">
    <w:name w:val="Texto comentario Car"/>
    <w:basedOn w:val="Fuentedeprrafopredeter"/>
    <w:link w:val="Textocomentario"/>
    <w:uiPriority w:val="99"/>
    <w:semiHidden/>
    <w:rsid w:val="002A5B2A"/>
    <w:rPr>
      <w:sz w:val="20"/>
      <w:szCs w:val="20"/>
      <w:lang w:val="ca-ES"/>
    </w:rPr>
  </w:style>
  <w:style w:type="character" w:customStyle="1" w:styleId="AsuntodelcomentarioCar">
    <w:name w:val="Asunto del comentario Car"/>
    <w:basedOn w:val="TextocomentarioCar"/>
    <w:link w:val="Asuntodelcomentario"/>
    <w:uiPriority w:val="99"/>
    <w:semiHidden/>
    <w:rsid w:val="002A5B2A"/>
    <w:rPr>
      <w:b/>
      <w:bCs/>
      <w:sz w:val="20"/>
      <w:szCs w:val="20"/>
      <w:lang w:val="ca-ES"/>
    </w:rPr>
  </w:style>
  <w:style w:type="character" w:customStyle="1" w:styleId="TextodegloboCar">
    <w:name w:val="Texto de globo Car"/>
    <w:basedOn w:val="Fuentedeprrafopredeter"/>
    <w:link w:val="Textodeglobo"/>
    <w:uiPriority w:val="99"/>
    <w:semiHidden/>
    <w:rsid w:val="002A5B2A"/>
    <w:rPr>
      <w:rFonts w:ascii="Tahoma" w:hAnsi="Tahoma" w:cs="Tahoma"/>
      <w:sz w:val="16"/>
      <w:szCs w:val="16"/>
      <w:lang w:val="ca-ES"/>
    </w:rPr>
  </w:style>
  <w:style w:type="character" w:customStyle="1" w:styleId="EncabezadoCar">
    <w:name w:val="Encabezado Car"/>
    <w:basedOn w:val="Fuentedeprrafopredeter"/>
    <w:link w:val="Encabezado1"/>
    <w:uiPriority w:val="99"/>
    <w:rsid w:val="00D747EA"/>
  </w:style>
  <w:style w:type="character" w:customStyle="1" w:styleId="PiedepginaCar">
    <w:name w:val="Pie de página Car"/>
    <w:basedOn w:val="Fuentedeprrafopredeter"/>
    <w:link w:val="Piedepgina1"/>
    <w:uiPriority w:val="99"/>
    <w:rsid w:val="00D747EA"/>
  </w:style>
  <w:style w:type="character" w:customStyle="1" w:styleId="Destacado">
    <w:name w:val="Destacado"/>
    <w:basedOn w:val="Fuentedeprrafopredeter"/>
    <w:uiPriority w:val="20"/>
    <w:qFormat/>
    <w:rsid w:val="006C250D"/>
    <w:rPr>
      <w:i/>
      <w:iCs/>
    </w:rPr>
  </w:style>
  <w:style w:type="character" w:customStyle="1" w:styleId="apple-converted-space">
    <w:name w:val="apple-converted-space"/>
    <w:basedOn w:val="Fuentedeprrafopredeter"/>
    <w:rsid w:val="006C250D"/>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customStyle="1" w:styleId="Encabezado1">
    <w:name w:val="Encabezado1"/>
    <w:basedOn w:val="Normal"/>
    <w:next w:val="Cuerpodetexto"/>
    <w:link w:val="EncabezadoCar"/>
    <w:pPr>
      <w:keepNext/>
      <w:spacing w:before="240" w:after="120"/>
    </w:pPr>
    <w:rPr>
      <w:rFonts w:ascii="Liberation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1">
    <w:name w:val="Lista1"/>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NormalWeb">
    <w:name w:val="Normal (Web)"/>
    <w:basedOn w:val="Normal"/>
    <w:uiPriority w:val="99"/>
    <w:unhideWhenUsed/>
    <w:rsid w:val="00A54BFF"/>
    <w:pPr>
      <w:spacing w:after="280"/>
    </w:pPr>
    <w:rPr>
      <w:rFonts w:ascii="Times New Roman" w:eastAsia="Times New Roman" w:hAnsi="Times New Roman"/>
      <w:sz w:val="24"/>
      <w:szCs w:val="24"/>
    </w:rPr>
  </w:style>
  <w:style w:type="paragraph" w:styleId="Textocomentario">
    <w:name w:val="annotation text"/>
    <w:basedOn w:val="Normal"/>
    <w:link w:val="TextocomentarioCar"/>
    <w:uiPriority w:val="99"/>
    <w:semiHidden/>
    <w:unhideWhenUsed/>
    <w:rsid w:val="002A5B2A"/>
    <w:pPr>
      <w:spacing w:line="240" w:lineRule="auto"/>
    </w:pPr>
    <w:rPr>
      <w:sz w:val="20"/>
      <w:szCs w:val="20"/>
    </w:rPr>
  </w:style>
  <w:style w:type="paragraph" w:styleId="Asuntodelcomentario">
    <w:name w:val="annotation subject"/>
    <w:basedOn w:val="Textocomentario"/>
    <w:link w:val="AsuntodelcomentarioCar"/>
    <w:uiPriority w:val="99"/>
    <w:semiHidden/>
    <w:unhideWhenUsed/>
    <w:rsid w:val="002A5B2A"/>
    <w:rPr>
      <w:b/>
      <w:bCs/>
    </w:rPr>
  </w:style>
  <w:style w:type="paragraph" w:styleId="Textodeglobo">
    <w:name w:val="Balloon Text"/>
    <w:basedOn w:val="Normal"/>
    <w:link w:val="TextodegloboCar"/>
    <w:uiPriority w:val="99"/>
    <w:semiHidden/>
    <w:unhideWhenUsed/>
    <w:rsid w:val="002A5B2A"/>
    <w:pPr>
      <w:spacing w:after="0" w:line="240" w:lineRule="auto"/>
    </w:pPr>
    <w:rPr>
      <w:rFonts w:ascii="Tahoma" w:hAnsi="Tahoma" w:cs="Tahoma"/>
      <w:sz w:val="16"/>
      <w:szCs w:val="16"/>
    </w:rPr>
  </w:style>
  <w:style w:type="paragraph" w:styleId="Prrafodelista">
    <w:name w:val="List Paragraph"/>
    <w:basedOn w:val="Normal"/>
    <w:uiPriority w:val="34"/>
    <w:qFormat/>
    <w:rsid w:val="008116AA"/>
    <w:pPr>
      <w:ind w:left="720"/>
      <w:contextualSpacing/>
    </w:pPr>
  </w:style>
  <w:style w:type="paragraph" w:customStyle="1" w:styleId="Encabezamiento">
    <w:name w:val="Encabezamiento"/>
    <w:basedOn w:val="Normal"/>
    <w:uiPriority w:val="99"/>
    <w:unhideWhenUsed/>
    <w:rsid w:val="00D747EA"/>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rsid w:val="00D747EA"/>
    <w:pPr>
      <w:tabs>
        <w:tab w:val="center" w:pos="4252"/>
        <w:tab w:val="right" w:pos="8504"/>
      </w:tabs>
      <w:spacing w:after="0" w:line="240" w:lineRule="auto"/>
    </w:pPr>
  </w:style>
  <w:style w:type="paragraph" w:customStyle="1" w:styleId="Pa9">
    <w:name w:val="Pa9"/>
    <w:basedOn w:val="Normal"/>
    <w:next w:val="Normal"/>
    <w:uiPriority w:val="99"/>
    <w:rsid w:val="006C250D"/>
    <w:pPr>
      <w:spacing w:after="0" w:line="201" w:lineRule="atLeast"/>
    </w:pPr>
    <w:rPr>
      <w:rFonts w:ascii="Arial" w:hAnsi="Arial" w:cs="Arial"/>
      <w:sz w:val="24"/>
      <w:szCs w:val="24"/>
    </w:rPr>
  </w:style>
  <w:style w:type="paragraph" w:customStyle="1" w:styleId="Default">
    <w:name w:val="Default"/>
    <w:rsid w:val="006C250D"/>
    <w:pPr>
      <w:suppressAutoHyphens/>
      <w:spacing w:line="240" w:lineRule="auto"/>
    </w:pPr>
    <w:rPr>
      <w:rFonts w:ascii="Arial Unicode MS" w:hAnsi="Arial Unicode MS" w:cs="Arial Unicode MS"/>
      <w:color w:val="000000"/>
      <w:sz w:val="24"/>
      <w:szCs w:val="24"/>
    </w:rPr>
  </w:style>
  <w:style w:type="paragraph" w:customStyle="1" w:styleId="a">
    <w:name w:val="a"/>
    <w:basedOn w:val="Normal"/>
    <w:rsid w:val="006C250D"/>
    <w:pPr>
      <w:spacing w:after="280"/>
    </w:pPr>
    <w:rPr>
      <w:rFonts w:ascii="Times New Roman" w:eastAsia="Times New Roman" w:hAnsi="Times New Roman"/>
      <w:sz w:val="24"/>
      <w:szCs w:val="24"/>
    </w:rPr>
  </w:style>
  <w:style w:type="character" w:customStyle="1" w:styleId="Ttulo1Car">
    <w:name w:val="Título 1 Car"/>
    <w:basedOn w:val="Fuentedeprrafopredeter"/>
    <w:link w:val="Ttulo1"/>
    <w:uiPriority w:val="9"/>
    <w:rsid w:val="00FD35FF"/>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1"/>
    <w:uiPriority w:val="99"/>
    <w:unhideWhenUsed/>
    <w:rsid w:val="00FA69E7"/>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FA69E7"/>
    <w:rPr>
      <w:color w:val="00000A"/>
    </w:rPr>
  </w:style>
  <w:style w:type="paragraph" w:styleId="Piedepgina">
    <w:name w:val="footer"/>
    <w:basedOn w:val="Normal"/>
    <w:link w:val="PiedepginaCar1"/>
    <w:uiPriority w:val="99"/>
    <w:unhideWhenUsed/>
    <w:rsid w:val="00FA69E7"/>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FA69E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332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4568</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3</cp:revision>
  <dcterms:created xsi:type="dcterms:W3CDTF">2017-02-24T11:45:00Z</dcterms:created>
  <dcterms:modified xsi:type="dcterms:W3CDTF">2017-03-03T10:24:00Z</dcterms:modified>
  <dc:language>ca-ES</dc:language>
</cp:coreProperties>
</file>